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91F3D" w14:textId="7AB0C1F3" w:rsidR="00344506" w:rsidRPr="000A2E91" w:rsidRDefault="00344506" w:rsidP="00344506">
      <w:r>
        <w:t xml:space="preserve">       Prospetto dei Progetti da realizzare nel corso dell’anno scolastico 202</w:t>
      </w:r>
      <w:r w:rsidR="00E907AC">
        <w:t>4</w:t>
      </w:r>
      <w:r>
        <w:t>/202</w:t>
      </w:r>
      <w:r w:rsidR="00E907AC">
        <w:t>5</w:t>
      </w:r>
      <w:r>
        <w:t>, anche con i fondi PNRR.</w:t>
      </w:r>
    </w:p>
    <w:p w14:paraId="748042A5" w14:textId="77777777" w:rsidR="00344506" w:rsidRDefault="00344506" w:rsidP="00344506">
      <w:pPr>
        <w:pStyle w:val="Corpotesto"/>
        <w:spacing w:before="10"/>
        <w:ind w:left="0"/>
        <w:rPr>
          <w:rFonts w:ascii="Cambria" w:hAnsi="Cambria"/>
          <w:b/>
          <w:i/>
          <w:sz w:val="22"/>
          <w:szCs w:val="22"/>
        </w:rPr>
      </w:pPr>
    </w:p>
    <w:tbl>
      <w:tblPr>
        <w:tblpPr w:leftFromText="141" w:rightFromText="141" w:vertAnchor="text" w:tblpY="1"/>
        <w:tblOverlap w:val="never"/>
        <w:tblW w:w="10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9"/>
        <w:gridCol w:w="4153"/>
        <w:gridCol w:w="2835"/>
      </w:tblGrid>
      <w:tr w:rsidR="00344506" w:rsidRPr="00807F67" w14:paraId="0905C1C4" w14:textId="77777777" w:rsidTr="00B27621">
        <w:trPr>
          <w:trHeight w:val="278"/>
        </w:trPr>
        <w:tc>
          <w:tcPr>
            <w:tcW w:w="3119" w:type="dxa"/>
            <w:shd w:val="clear" w:color="auto" w:fill="DBE4F0"/>
          </w:tcPr>
          <w:p w14:paraId="7789ABD3" w14:textId="77777777" w:rsidR="00344506" w:rsidRPr="00465F7E" w:rsidRDefault="00344506" w:rsidP="00B27621">
            <w:pPr>
              <w:pStyle w:val="TableParagraph"/>
              <w:spacing w:line="276" w:lineRule="auto"/>
              <w:rPr>
                <w:b/>
              </w:rPr>
            </w:pPr>
            <w:r w:rsidRPr="00465F7E">
              <w:rPr>
                <w:b/>
                <w:i/>
                <w:iCs/>
              </w:rPr>
              <w:t xml:space="preserve">             </w:t>
            </w:r>
            <w:r w:rsidRPr="00465F7E">
              <w:rPr>
                <w:b/>
              </w:rPr>
              <w:t>Denominazione</w:t>
            </w:r>
          </w:p>
        </w:tc>
        <w:tc>
          <w:tcPr>
            <w:tcW w:w="4153" w:type="dxa"/>
            <w:shd w:val="clear" w:color="auto" w:fill="DBE4F0"/>
          </w:tcPr>
          <w:p w14:paraId="7791AF77" w14:textId="77777777" w:rsidR="00344506" w:rsidRPr="00807F67" w:rsidRDefault="00344506" w:rsidP="00B27621">
            <w:pPr>
              <w:pStyle w:val="TableParagraph"/>
              <w:spacing w:line="276" w:lineRule="auto"/>
              <w:ind w:left="567" w:right="141" w:hanging="425"/>
              <w:jc w:val="center"/>
              <w:rPr>
                <w:b/>
              </w:rPr>
            </w:pPr>
            <w:r w:rsidRPr="00807F67">
              <w:rPr>
                <w:b/>
              </w:rPr>
              <w:t>Descrizione</w:t>
            </w:r>
          </w:p>
        </w:tc>
        <w:tc>
          <w:tcPr>
            <w:tcW w:w="2835" w:type="dxa"/>
            <w:shd w:val="clear" w:color="auto" w:fill="DBE4F0"/>
          </w:tcPr>
          <w:p w14:paraId="2B056523" w14:textId="77777777" w:rsidR="00344506" w:rsidRPr="00807F67" w:rsidRDefault="00344506" w:rsidP="00B27621">
            <w:pPr>
              <w:pStyle w:val="TableParagraph"/>
              <w:spacing w:line="276" w:lineRule="auto"/>
              <w:ind w:left="559"/>
              <w:rPr>
                <w:b/>
              </w:rPr>
            </w:pPr>
            <w:r>
              <w:rPr>
                <w:b/>
              </w:rPr>
              <w:t xml:space="preserve">    </w:t>
            </w:r>
            <w:r w:rsidRPr="00807F67">
              <w:rPr>
                <w:b/>
              </w:rPr>
              <w:t>Destinatari</w:t>
            </w:r>
          </w:p>
        </w:tc>
      </w:tr>
      <w:tr w:rsidR="00344506" w:rsidRPr="00807F67" w14:paraId="698E7F40" w14:textId="77777777" w:rsidTr="00B27621">
        <w:trPr>
          <w:trHeight w:val="819"/>
        </w:trPr>
        <w:tc>
          <w:tcPr>
            <w:tcW w:w="3119" w:type="dxa"/>
          </w:tcPr>
          <w:p w14:paraId="3CE72BB5" w14:textId="77777777" w:rsidR="00344506" w:rsidRPr="00465F7E" w:rsidRDefault="00344506" w:rsidP="00B27621">
            <w:pPr>
              <w:pStyle w:val="TableParagraph"/>
              <w:ind w:left="108" w:right="595"/>
              <w:rPr>
                <w:b/>
                <w:i/>
                <w:iCs/>
              </w:rPr>
            </w:pPr>
            <w:r w:rsidRPr="00465F7E">
              <w:rPr>
                <w:b/>
                <w:i/>
                <w:iCs/>
              </w:rPr>
              <w:t>Potenziamento delle competenze matematiche, logiche e scientifiche</w:t>
            </w:r>
          </w:p>
        </w:tc>
        <w:tc>
          <w:tcPr>
            <w:tcW w:w="4153" w:type="dxa"/>
          </w:tcPr>
          <w:p w14:paraId="0B849EBE" w14:textId="689F7B5C" w:rsidR="00344506" w:rsidRPr="00807F67" w:rsidRDefault="00344506" w:rsidP="00B27621">
            <w:pPr>
              <w:pStyle w:val="TableParagraph"/>
              <w:ind w:left="142"/>
            </w:pPr>
            <w:r w:rsidRPr="00807F67">
              <w:t>Recupero/potenziamento delle competenze di matematica</w:t>
            </w:r>
            <w:r w:rsidR="00020A57">
              <w:t>.</w:t>
            </w:r>
          </w:p>
        </w:tc>
        <w:tc>
          <w:tcPr>
            <w:tcW w:w="2835" w:type="dxa"/>
          </w:tcPr>
          <w:p w14:paraId="79CA8648" w14:textId="77777777" w:rsidR="00344506" w:rsidRPr="00807F67" w:rsidRDefault="00344506" w:rsidP="00B27621">
            <w:pPr>
              <w:pStyle w:val="TableParagraph"/>
              <w:ind w:left="107"/>
            </w:pPr>
            <w:r>
              <w:t>C</w:t>
            </w:r>
            <w:r w:rsidRPr="00807F67">
              <w:t xml:space="preserve">lassi </w:t>
            </w:r>
            <w:r>
              <w:t>p</w:t>
            </w:r>
            <w:r w:rsidRPr="00807F67">
              <w:t xml:space="preserve">rime e </w:t>
            </w:r>
            <w:r>
              <w:t>s</w:t>
            </w:r>
            <w:r w:rsidRPr="00807F67">
              <w:t xml:space="preserve">econde </w:t>
            </w:r>
          </w:p>
        </w:tc>
      </w:tr>
      <w:tr w:rsidR="00344506" w:rsidRPr="00807F67" w14:paraId="5EAB4BF5" w14:textId="77777777" w:rsidTr="00B27621">
        <w:trPr>
          <w:trHeight w:val="851"/>
        </w:trPr>
        <w:tc>
          <w:tcPr>
            <w:tcW w:w="3119" w:type="dxa"/>
          </w:tcPr>
          <w:p w14:paraId="1AB4A746" w14:textId="77777777" w:rsidR="00344506" w:rsidRPr="00465F7E" w:rsidRDefault="00344506" w:rsidP="00B27621">
            <w:pPr>
              <w:pStyle w:val="TableParagraph"/>
              <w:ind w:left="108" w:right="595"/>
              <w:rPr>
                <w:b/>
                <w:i/>
                <w:iCs/>
              </w:rPr>
            </w:pPr>
            <w:r w:rsidRPr="00465F7E">
              <w:rPr>
                <w:b/>
                <w:i/>
                <w:iCs/>
              </w:rPr>
              <w:t>Competenza alfabetico-funzionale e competenza comunicativa</w:t>
            </w:r>
          </w:p>
        </w:tc>
        <w:tc>
          <w:tcPr>
            <w:tcW w:w="4153" w:type="dxa"/>
          </w:tcPr>
          <w:p w14:paraId="1F81E6EC" w14:textId="77777777" w:rsidR="00344506" w:rsidRPr="00807F67" w:rsidRDefault="00344506" w:rsidP="00B27621">
            <w:pPr>
              <w:pStyle w:val="TableParagraph"/>
              <w:ind w:left="147" w:right="150"/>
            </w:pPr>
            <w:r w:rsidRPr="00807F67">
              <w:t>Recupero/</w:t>
            </w:r>
            <w:r>
              <w:t xml:space="preserve">consolidamento e </w:t>
            </w:r>
            <w:r w:rsidRPr="00807F67">
              <w:t xml:space="preserve">potenziamento delle competenze </w:t>
            </w:r>
            <w:r>
              <w:t>alfabetico funzionale e comunicative.</w:t>
            </w:r>
          </w:p>
        </w:tc>
        <w:tc>
          <w:tcPr>
            <w:tcW w:w="2835" w:type="dxa"/>
          </w:tcPr>
          <w:p w14:paraId="5584B1F1" w14:textId="77777777" w:rsidR="00344506" w:rsidRPr="00807F67" w:rsidRDefault="00344506" w:rsidP="00B27621">
            <w:pPr>
              <w:pStyle w:val="TableParagraph"/>
              <w:ind w:left="107"/>
            </w:pPr>
            <w:r>
              <w:t>Tutte le classi</w:t>
            </w:r>
          </w:p>
        </w:tc>
      </w:tr>
      <w:tr w:rsidR="00344506" w:rsidRPr="00807F67" w14:paraId="0EA6185A" w14:textId="77777777" w:rsidTr="00B27621">
        <w:trPr>
          <w:trHeight w:val="1104"/>
        </w:trPr>
        <w:tc>
          <w:tcPr>
            <w:tcW w:w="3119" w:type="dxa"/>
          </w:tcPr>
          <w:p w14:paraId="6C8DD4F0" w14:textId="77777777" w:rsidR="00344506" w:rsidRPr="00465F7E" w:rsidRDefault="00344506" w:rsidP="00B27621">
            <w:pPr>
              <w:pStyle w:val="TableParagraph"/>
              <w:ind w:left="108" w:right="595"/>
              <w:rPr>
                <w:b/>
                <w:i/>
                <w:iCs/>
              </w:rPr>
            </w:pPr>
            <w:r w:rsidRPr="00465F7E">
              <w:rPr>
                <w:b/>
                <w:i/>
                <w:iCs/>
              </w:rPr>
              <w:t>Potenziamento delle competenze afferenti all’educazione civica</w:t>
            </w:r>
          </w:p>
        </w:tc>
        <w:tc>
          <w:tcPr>
            <w:tcW w:w="4153" w:type="dxa"/>
          </w:tcPr>
          <w:p w14:paraId="182EDA59" w14:textId="74737753" w:rsidR="00344506" w:rsidRPr="00807F67" w:rsidRDefault="00344506" w:rsidP="00B27621">
            <w:pPr>
              <w:pStyle w:val="TableParagraph"/>
              <w:ind w:left="147" w:right="150"/>
            </w:pPr>
            <w:r w:rsidRPr="00807F67">
              <w:t>Potenziamento in orario aggiuntivo al Curricolo di almeno 1</w:t>
            </w:r>
            <w:r w:rsidR="00FE03EF">
              <w:t>5</w:t>
            </w:r>
            <w:r w:rsidRPr="00807F67">
              <w:t xml:space="preserve"> ore di insegnamento di Diritto ed economia</w:t>
            </w:r>
            <w:r w:rsidR="004676D3">
              <w:t xml:space="preserve">, riferite al </w:t>
            </w:r>
            <w:r w:rsidRPr="00807F67">
              <w:t>Nucleo 1 dell’Educazione civica.</w:t>
            </w:r>
          </w:p>
        </w:tc>
        <w:tc>
          <w:tcPr>
            <w:tcW w:w="2835" w:type="dxa"/>
          </w:tcPr>
          <w:p w14:paraId="587B562E" w14:textId="77777777" w:rsidR="00344506" w:rsidRPr="00807F67" w:rsidRDefault="00344506" w:rsidP="00B27621">
            <w:pPr>
              <w:pStyle w:val="TableParagraph"/>
              <w:ind w:left="107"/>
            </w:pPr>
            <w:r>
              <w:t>C</w:t>
            </w:r>
            <w:r w:rsidRPr="00807F67">
              <w:t xml:space="preserve">lassi </w:t>
            </w:r>
            <w:r>
              <w:t>s</w:t>
            </w:r>
            <w:r w:rsidRPr="00807F67">
              <w:t xml:space="preserve">econde, </w:t>
            </w:r>
            <w:r>
              <w:t>t</w:t>
            </w:r>
            <w:r w:rsidRPr="00807F67">
              <w:t xml:space="preserve">erze e </w:t>
            </w:r>
            <w:r>
              <w:t>q</w:t>
            </w:r>
            <w:r w:rsidRPr="00807F67">
              <w:t>uinte.</w:t>
            </w:r>
          </w:p>
        </w:tc>
      </w:tr>
      <w:tr w:rsidR="00344506" w:rsidRPr="00807F67" w14:paraId="09AC56B6" w14:textId="77777777" w:rsidTr="00B27621">
        <w:trPr>
          <w:trHeight w:val="416"/>
        </w:trPr>
        <w:tc>
          <w:tcPr>
            <w:tcW w:w="3119" w:type="dxa"/>
          </w:tcPr>
          <w:p w14:paraId="1500EEEB" w14:textId="77777777" w:rsidR="00344506" w:rsidRPr="00465F7E" w:rsidRDefault="00344506" w:rsidP="00B27621">
            <w:pPr>
              <w:pStyle w:val="TableParagraph"/>
              <w:ind w:left="108"/>
              <w:rPr>
                <w:b/>
                <w:i/>
                <w:iCs/>
              </w:rPr>
            </w:pPr>
            <w:r w:rsidRPr="00465F7E">
              <w:rPr>
                <w:b/>
                <w:i/>
                <w:iCs/>
              </w:rPr>
              <w:t>Istruzione a domicilio</w:t>
            </w:r>
          </w:p>
        </w:tc>
        <w:tc>
          <w:tcPr>
            <w:tcW w:w="4153" w:type="dxa"/>
          </w:tcPr>
          <w:p w14:paraId="5FDA6604" w14:textId="4E6680BA" w:rsidR="00344506" w:rsidRPr="00807F67" w:rsidRDefault="00344506" w:rsidP="00B27621">
            <w:pPr>
              <w:pStyle w:val="TableParagraph"/>
              <w:ind w:left="147" w:right="150"/>
            </w:pPr>
            <w:r w:rsidRPr="00807F67">
              <w:t>Lezioni presso il domicilio degli alunni impossibilitati a frequentare per gravi problemi di salute. Nella realizzazione del progetto avrà un ruolo centrale l’uso delle nuove tecnologie</w:t>
            </w:r>
            <w:r w:rsidR="00AD104B">
              <w:t>,</w:t>
            </w:r>
            <w:r w:rsidR="00D67987">
              <w:t xml:space="preserve"> </w:t>
            </w:r>
            <w:r w:rsidR="00AD104B">
              <w:t xml:space="preserve">della piattaforma </w:t>
            </w:r>
            <w:r w:rsidR="00D67987">
              <w:t>TEAMS, in particolare.</w:t>
            </w:r>
          </w:p>
        </w:tc>
        <w:tc>
          <w:tcPr>
            <w:tcW w:w="2835" w:type="dxa"/>
          </w:tcPr>
          <w:p w14:paraId="58888D94" w14:textId="77777777" w:rsidR="00344506" w:rsidRPr="00807F67" w:rsidRDefault="00344506" w:rsidP="00B27621">
            <w:pPr>
              <w:pStyle w:val="TableParagraph"/>
              <w:ind w:left="107"/>
            </w:pPr>
            <w:r w:rsidRPr="00807F67">
              <w:t>Studenti con problemi di salute</w:t>
            </w:r>
            <w:r>
              <w:t>.</w:t>
            </w:r>
          </w:p>
        </w:tc>
      </w:tr>
      <w:tr w:rsidR="00344506" w:rsidRPr="00807F67" w14:paraId="7CF1E8C4" w14:textId="77777777" w:rsidTr="00B27621">
        <w:trPr>
          <w:trHeight w:val="1308"/>
        </w:trPr>
        <w:tc>
          <w:tcPr>
            <w:tcW w:w="3119" w:type="dxa"/>
            <w:vMerge w:val="restart"/>
          </w:tcPr>
          <w:p w14:paraId="338745D5" w14:textId="77777777" w:rsidR="00344506" w:rsidRPr="00465F7E" w:rsidRDefault="00344506" w:rsidP="00B27621">
            <w:pPr>
              <w:pStyle w:val="TableParagraph"/>
              <w:ind w:left="107"/>
              <w:rPr>
                <w:b/>
                <w:i/>
                <w:iCs/>
              </w:rPr>
            </w:pPr>
          </w:p>
          <w:p w14:paraId="678EBB51" w14:textId="77777777" w:rsidR="00344506" w:rsidRPr="00465F7E" w:rsidRDefault="00344506" w:rsidP="00B27621">
            <w:pPr>
              <w:pStyle w:val="TableParagraph"/>
              <w:ind w:left="107" w:right="131"/>
              <w:rPr>
                <w:b/>
                <w:i/>
                <w:iCs/>
              </w:rPr>
            </w:pPr>
          </w:p>
          <w:p w14:paraId="69B50271" w14:textId="77777777" w:rsidR="00344506" w:rsidRPr="00465F7E" w:rsidRDefault="00344506" w:rsidP="00B27621">
            <w:pPr>
              <w:pStyle w:val="TableParagraph"/>
              <w:ind w:left="107" w:right="131"/>
              <w:rPr>
                <w:b/>
                <w:i/>
                <w:iCs/>
              </w:rPr>
            </w:pPr>
          </w:p>
          <w:p w14:paraId="602B9818" w14:textId="77777777" w:rsidR="00344506" w:rsidRPr="00465F7E" w:rsidRDefault="00344506" w:rsidP="00B27621">
            <w:pPr>
              <w:pStyle w:val="TableParagraph"/>
              <w:ind w:left="107" w:right="131"/>
              <w:rPr>
                <w:b/>
                <w:i/>
                <w:iCs/>
              </w:rPr>
            </w:pPr>
          </w:p>
          <w:p w14:paraId="0376B1E8" w14:textId="77777777" w:rsidR="00344506" w:rsidRPr="00465F7E" w:rsidRDefault="00344506" w:rsidP="00B27621">
            <w:pPr>
              <w:pStyle w:val="TableParagraph"/>
              <w:ind w:left="107" w:right="131"/>
              <w:rPr>
                <w:b/>
                <w:i/>
                <w:iCs/>
              </w:rPr>
            </w:pPr>
          </w:p>
          <w:p w14:paraId="7B93B4F2" w14:textId="77777777" w:rsidR="00344506" w:rsidRPr="00465F7E" w:rsidRDefault="00344506" w:rsidP="00B27621">
            <w:pPr>
              <w:pStyle w:val="TableParagraph"/>
              <w:ind w:left="107" w:right="131"/>
              <w:rPr>
                <w:b/>
                <w:i/>
                <w:iCs/>
              </w:rPr>
            </w:pPr>
          </w:p>
          <w:p w14:paraId="6C91936F" w14:textId="77777777" w:rsidR="00344506" w:rsidRPr="00465F7E" w:rsidRDefault="00344506" w:rsidP="00B27621">
            <w:pPr>
              <w:pStyle w:val="TableParagraph"/>
              <w:ind w:left="107" w:right="131"/>
              <w:rPr>
                <w:b/>
                <w:i/>
                <w:iCs/>
              </w:rPr>
            </w:pPr>
          </w:p>
          <w:p w14:paraId="27D1FC57" w14:textId="77777777" w:rsidR="00344506" w:rsidRPr="00465F7E" w:rsidRDefault="00344506" w:rsidP="00B27621">
            <w:pPr>
              <w:pStyle w:val="TableParagraph"/>
              <w:ind w:left="107" w:right="131"/>
              <w:rPr>
                <w:b/>
                <w:i/>
                <w:iCs/>
              </w:rPr>
            </w:pPr>
          </w:p>
          <w:p w14:paraId="3DCA688D" w14:textId="77777777" w:rsidR="00344506" w:rsidRPr="00465F7E" w:rsidRDefault="00344506" w:rsidP="00B27621">
            <w:pPr>
              <w:pStyle w:val="TableParagraph"/>
              <w:ind w:left="107" w:right="131"/>
              <w:rPr>
                <w:b/>
                <w:i/>
                <w:iCs/>
              </w:rPr>
            </w:pPr>
          </w:p>
          <w:p w14:paraId="1919C5FD" w14:textId="77777777" w:rsidR="00344506" w:rsidRPr="00465F7E" w:rsidRDefault="00344506" w:rsidP="00B27621">
            <w:pPr>
              <w:pStyle w:val="TableParagraph"/>
              <w:ind w:left="107" w:right="131"/>
              <w:rPr>
                <w:b/>
                <w:i/>
                <w:iCs/>
              </w:rPr>
            </w:pPr>
          </w:p>
          <w:p w14:paraId="0CCD2972" w14:textId="77777777" w:rsidR="00344506" w:rsidRPr="00465F7E" w:rsidRDefault="00344506" w:rsidP="00B27621">
            <w:pPr>
              <w:pStyle w:val="TableParagraph"/>
              <w:ind w:left="107" w:right="131"/>
              <w:rPr>
                <w:b/>
                <w:i/>
                <w:iCs/>
              </w:rPr>
            </w:pPr>
          </w:p>
          <w:p w14:paraId="35BBA62C" w14:textId="77777777" w:rsidR="00344506" w:rsidRPr="00465F7E" w:rsidRDefault="00344506" w:rsidP="00B27621">
            <w:pPr>
              <w:pStyle w:val="TableParagraph"/>
              <w:ind w:left="107" w:right="131"/>
              <w:rPr>
                <w:b/>
                <w:i/>
                <w:iCs/>
              </w:rPr>
            </w:pPr>
          </w:p>
          <w:p w14:paraId="7AE2C2D1" w14:textId="77777777" w:rsidR="00344506" w:rsidRPr="00465F7E" w:rsidRDefault="00344506" w:rsidP="00B27621">
            <w:pPr>
              <w:pStyle w:val="TableParagraph"/>
              <w:ind w:left="107" w:right="131"/>
              <w:rPr>
                <w:b/>
                <w:i/>
                <w:iCs/>
              </w:rPr>
            </w:pPr>
            <w:r w:rsidRPr="00465F7E">
              <w:rPr>
                <w:b/>
                <w:i/>
                <w:iCs/>
              </w:rPr>
              <w:t>Potenziamento delle lingue straniere</w:t>
            </w:r>
          </w:p>
          <w:p w14:paraId="6858CE26" w14:textId="77777777" w:rsidR="00344506" w:rsidRPr="00465F7E" w:rsidRDefault="00344506" w:rsidP="00B27621">
            <w:pPr>
              <w:pStyle w:val="TableParagraph"/>
              <w:ind w:left="107"/>
              <w:rPr>
                <w:b/>
                <w:i/>
                <w:iCs/>
              </w:rPr>
            </w:pPr>
          </w:p>
          <w:p w14:paraId="31E97C52" w14:textId="77777777" w:rsidR="00344506" w:rsidRPr="00465F7E" w:rsidRDefault="00344506" w:rsidP="00B27621">
            <w:pPr>
              <w:pStyle w:val="TableParagraph"/>
              <w:ind w:left="107"/>
              <w:rPr>
                <w:b/>
                <w:i/>
                <w:iCs/>
              </w:rPr>
            </w:pPr>
          </w:p>
        </w:tc>
        <w:tc>
          <w:tcPr>
            <w:tcW w:w="4153" w:type="dxa"/>
          </w:tcPr>
          <w:p w14:paraId="65531A92" w14:textId="121F6883" w:rsidR="00344506" w:rsidRPr="00807F67" w:rsidRDefault="00344506" w:rsidP="00B27621">
            <w:pPr>
              <w:pStyle w:val="TableParagraph"/>
              <w:ind w:left="147" w:right="150"/>
            </w:pPr>
            <w:r w:rsidRPr="00807F67">
              <w:t xml:space="preserve">Insegnamento in modalità </w:t>
            </w:r>
            <w:r w:rsidRPr="00807F67">
              <w:rPr>
                <w:b/>
              </w:rPr>
              <w:t>CLIL</w:t>
            </w:r>
            <w:r w:rsidRPr="00807F67">
              <w:t xml:space="preserve"> di discipline non linguistiche: supporto ai docenti DNL da parte dei docenti di lingua inglese</w:t>
            </w:r>
            <w:r w:rsidR="00F948FF">
              <w:t xml:space="preserve"> </w:t>
            </w:r>
            <w:r w:rsidRPr="00807F67">
              <w:t>e francese</w:t>
            </w:r>
            <w:r w:rsidR="00F948FF">
              <w:t xml:space="preserve">, </w:t>
            </w:r>
            <w:r w:rsidR="000A0E56">
              <w:t>oltre ai docenti con competenze linguistiche di DNL</w:t>
            </w:r>
            <w:r w:rsidRPr="00807F67">
              <w:t xml:space="preserve">. </w:t>
            </w:r>
          </w:p>
        </w:tc>
        <w:tc>
          <w:tcPr>
            <w:tcW w:w="2835" w:type="dxa"/>
          </w:tcPr>
          <w:p w14:paraId="402F4980" w14:textId="77777777" w:rsidR="00344506" w:rsidRPr="00807F67" w:rsidRDefault="00344506" w:rsidP="00B27621">
            <w:pPr>
              <w:pStyle w:val="TableParagraph"/>
              <w:ind w:left="107" w:right="172"/>
            </w:pPr>
            <w:r>
              <w:t>C</w:t>
            </w:r>
            <w:r w:rsidRPr="00807F67">
              <w:t>lassi III, IV e V del Liceo linguistico e di tutte le ultime classi degli altri percorsi liceali.</w:t>
            </w:r>
          </w:p>
          <w:p w14:paraId="71239401" w14:textId="77777777" w:rsidR="00344506" w:rsidRPr="00807F67" w:rsidRDefault="00344506" w:rsidP="00B27621">
            <w:pPr>
              <w:pStyle w:val="TableParagraph"/>
              <w:ind w:left="107" w:right="172"/>
            </w:pPr>
          </w:p>
        </w:tc>
      </w:tr>
      <w:tr w:rsidR="00344506" w:rsidRPr="00807F67" w14:paraId="7C53AF50" w14:textId="77777777" w:rsidTr="00B27621">
        <w:trPr>
          <w:trHeight w:val="1126"/>
        </w:trPr>
        <w:tc>
          <w:tcPr>
            <w:tcW w:w="3119" w:type="dxa"/>
            <w:vMerge/>
          </w:tcPr>
          <w:p w14:paraId="677B9186" w14:textId="77777777" w:rsidR="00344506" w:rsidRPr="00465F7E" w:rsidRDefault="00344506" w:rsidP="00B27621">
            <w:pPr>
              <w:pStyle w:val="TableParagraph"/>
              <w:ind w:left="107"/>
              <w:rPr>
                <w:b/>
                <w:i/>
                <w:iCs/>
              </w:rPr>
            </w:pPr>
          </w:p>
        </w:tc>
        <w:tc>
          <w:tcPr>
            <w:tcW w:w="4153" w:type="dxa"/>
          </w:tcPr>
          <w:p w14:paraId="0A8AB84B" w14:textId="77777777" w:rsidR="00344506" w:rsidRPr="00807F67" w:rsidRDefault="00344506" w:rsidP="00B27621">
            <w:pPr>
              <w:pStyle w:val="TableParagraph"/>
              <w:ind w:left="147" w:right="150"/>
            </w:pPr>
            <w:r w:rsidRPr="00ED7728">
              <w:rPr>
                <w:b/>
              </w:rPr>
              <w:t>Certificazione linguistica</w:t>
            </w:r>
            <w:r w:rsidRPr="00807F67">
              <w:t xml:space="preserve"> </w:t>
            </w:r>
            <w:r>
              <w:t>di i</w:t>
            </w:r>
            <w:r w:rsidRPr="00807F67">
              <w:t>nglese, francese e spagnolo. Preparazione degli alunni finalizzata al conseguimento della certificazione linguistica CAMBRIDGE</w:t>
            </w:r>
            <w:r>
              <w:t>,</w:t>
            </w:r>
            <w:r w:rsidRPr="00807F67">
              <w:t xml:space="preserve">  DELF</w:t>
            </w:r>
            <w:r>
              <w:t>,</w:t>
            </w:r>
            <w:r w:rsidRPr="00807F67">
              <w:t xml:space="preserve"> DELE</w:t>
            </w:r>
            <w:r>
              <w:t>.</w:t>
            </w:r>
          </w:p>
        </w:tc>
        <w:tc>
          <w:tcPr>
            <w:tcW w:w="2835" w:type="dxa"/>
          </w:tcPr>
          <w:p w14:paraId="06CCDD55" w14:textId="77777777" w:rsidR="00344506" w:rsidRPr="00807F67" w:rsidRDefault="00344506" w:rsidP="00B27621">
            <w:pPr>
              <w:pStyle w:val="TableParagraph"/>
              <w:ind w:left="107" w:right="172"/>
            </w:pPr>
            <w:r w:rsidRPr="00807F67">
              <w:t>Studenti del liceo di Marsico Nuovo e Viggiano</w:t>
            </w:r>
          </w:p>
        </w:tc>
      </w:tr>
      <w:tr w:rsidR="00344506" w:rsidRPr="00807F67" w14:paraId="38F1838C" w14:textId="77777777" w:rsidTr="00B27621">
        <w:trPr>
          <w:trHeight w:val="1781"/>
        </w:trPr>
        <w:tc>
          <w:tcPr>
            <w:tcW w:w="3119" w:type="dxa"/>
            <w:vMerge/>
          </w:tcPr>
          <w:p w14:paraId="31797B10" w14:textId="77777777" w:rsidR="00344506" w:rsidRPr="00465F7E" w:rsidRDefault="00344506" w:rsidP="00B27621">
            <w:pPr>
              <w:pStyle w:val="TableParagraph"/>
              <w:ind w:left="107"/>
              <w:rPr>
                <w:b/>
                <w:i/>
                <w:iCs/>
              </w:rPr>
            </w:pPr>
          </w:p>
        </w:tc>
        <w:tc>
          <w:tcPr>
            <w:tcW w:w="4153" w:type="dxa"/>
          </w:tcPr>
          <w:p w14:paraId="1C72D6FA" w14:textId="77777777" w:rsidR="00344506" w:rsidRPr="00807F67" w:rsidRDefault="00344506" w:rsidP="00B27621">
            <w:pPr>
              <w:pStyle w:val="TableParagraph"/>
              <w:ind w:left="147" w:right="150"/>
            </w:pPr>
            <w:r w:rsidRPr="00807F67">
              <w:t xml:space="preserve">Progetto </w:t>
            </w:r>
            <w:r w:rsidRPr="00807F67">
              <w:rPr>
                <w:b/>
              </w:rPr>
              <w:t xml:space="preserve">Read on </w:t>
            </w:r>
            <w:r w:rsidRPr="00807F67">
              <w:t>promosso da MIUR, British</w:t>
            </w:r>
            <w:r>
              <w:t xml:space="preserve"> </w:t>
            </w:r>
            <w:r w:rsidRPr="00807F67">
              <w:t>Council e Ambasciata britannica in collaborazione con la casa editrice Oxford finalizzato a promuovere lo sviluppo delle competenze linguistico – comunicative in lingua inglese attraverso il metodo della lettura estensiva</w:t>
            </w:r>
          </w:p>
        </w:tc>
        <w:tc>
          <w:tcPr>
            <w:tcW w:w="2835" w:type="dxa"/>
          </w:tcPr>
          <w:p w14:paraId="7CADF734" w14:textId="77777777" w:rsidR="00344506" w:rsidRPr="00807F67" w:rsidRDefault="00344506" w:rsidP="00B27621">
            <w:pPr>
              <w:pStyle w:val="TableParagraph"/>
              <w:ind w:left="107" w:right="172"/>
            </w:pPr>
            <w:r w:rsidRPr="00807F67">
              <w:t>Studenti del Liceo di Marsico Nuovo e Viggiano</w:t>
            </w:r>
          </w:p>
        </w:tc>
      </w:tr>
      <w:tr w:rsidR="00344506" w:rsidRPr="00807F67" w14:paraId="7B6625F2" w14:textId="77777777" w:rsidTr="00B27621">
        <w:trPr>
          <w:trHeight w:val="1781"/>
        </w:trPr>
        <w:tc>
          <w:tcPr>
            <w:tcW w:w="3119" w:type="dxa"/>
            <w:vMerge/>
          </w:tcPr>
          <w:p w14:paraId="24505CDD" w14:textId="77777777" w:rsidR="00344506" w:rsidRPr="00465F7E" w:rsidRDefault="00344506" w:rsidP="00B27621">
            <w:pPr>
              <w:pStyle w:val="TableParagraph"/>
              <w:ind w:left="107"/>
              <w:rPr>
                <w:b/>
                <w:i/>
                <w:iCs/>
              </w:rPr>
            </w:pPr>
          </w:p>
        </w:tc>
        <w:tc>
          <w:tcPr>
            <w:tcW w:w="4153" w:type="dxa"/>
          </w:tcPr>
          <w:p w14:paraId="3A075D4E" w14:textId="77777777" w:rsidR="00344506" w:rsidRPr="00807F67" w:rsidRDefault="00344506" w:rsidP="00B27621">
            <w:pPr>
              <w:pStyle w:val="TableParagraph"/>
              <w:ind w:left="147" w:right="150"/>
            </w:pPr>
            <w:r w:rsidRPr="00807F67">
              <w:rPr>
                <w:b/>
              </w:rPr>
              <w:t>E-Twinning</w:t>
            </w:r>
            <w:r w:rsidRPr="00807F67">
              <w:t>: progetto della Commissione europea, facente parte del Programma Erasmus+, il cui obiettivo è incoraggiare le scuole europee a creare progetti collaborativi basati sull'impiego delle tecnologie dell'informazione e della comunicazione (TIC), fornendo le infrastrutture necessarie alla creazione di progetti didattici a distanza.</w:t>
            </w:r>
          </w:p>
        </w:tc>
        <w:tc>
          <w:tcPr>
            <w:tcW w:w="2835" w:type="dxa"/>
          </w:tcPr>
          <w:p w14:paraId="47935D11" w14:textId="6F7C04B1" w:rsidR="00344506" w:rsidRPr="00807F67" w:rsidRDefault="00344506" w:rsidP="00B27621">
            <w:pPr>
              <w:pStyle w:val="TableParagraph"/>
              <w:ind w:left="107" w:right="172"/>
            </w:pPr>
            <w:r>
              <w:t xml:space="preserve">Classi </w:t>
            </w:r>
            <w:r w:rsidRPr="00807F67">
              <w:t>de</w:t>
            </w:r>
            <w:r w:rsidR="00755640">
              <w:t>i 2</w:t>
            </w:r>
            <w:r w:rsidRPr="00807F67">
              <w:t xml:space="preserve"> bienni</w:t>
            </w:r>
          </w:p>
        </w:tc>
      </w:tr>
      <w:tr w:rsidR="00344506" w:rsidRPr="00807F67" w14:paraId="0A6BEB36" w14:textId="77777777" w:rsidTr="00B27621">
        <w:trPr>
          <w:trHeight w:val="850"/>
        </w:trPr>
        <w:tc>
          <w:tcPr>
            <w:tcW w:w="3119" w:type="dxa"/>
            <w:vMerge/>
          </w:tcPr>
          <w:p w14:paraId="18CAADC7" w14:textId="77777777" w:rsidR="00344506" w:rsidRPr="00465F7E" w:rsidRDefault="00344506" w:rsidP="00B27621">
            <w:pPr>
              <w:pStyle w:val="TableParagraph"/>
              <w:ind w:left="107"/>
              <w:rPr>
                <w:b/>
                <w:i/>
                <w:iCs/>
              </w:rPr>
            </w:pPr>
          </w:p>
        </w:tc>
        <w:tc>
          <w:tcPr>
            <w:tcW w:w="4153" w:type="dxa"/>
          </w:tcPr>
          <w:p w14:paraId="32795E52" w14:textId="77777777" w:rsidR="00344506" w:rsidRPr="00807F67" w:rsidRDefault="00344506" w:rsidP="00B27621">
            <w:pPr>
              <w:pStyle w:val="TableParagraph"/>
              <w:ind w:left="147" w:right="150"/>
            </w:pPr>
            <w:r w:rsidRPr="00807F67">
              <w:rPr>
                <w:b/>
              </w:rPr>
              <w:t xml:space="preserve">Teatro in lingua: </w:t>
            </w:r>
            <w:r w:rsidRPr="00807F67">
              <w:t>fruizione di una rappresentazione teatrale in lingua (Inglese, Spagnolo, Francese).</w:t>
            </w:r>
          </w:p>
        </w:tc>
        <w:tc>
          <w:tcPr>
            <w:tcW w:w="2835" w:type="dxa"/>
          </w:tcPr>
          <w:p w14:paraId="75243E03" w14:textId="106783AE" w:rsidR="00344506" w:rsidRPr="00807F67" w:rsidRDefault="00344506" w:rsidP="00B27621">
            <w:pPr>
              <w:pStyle w:val="TableParagraph"/>
              <w:ind w:left="107" w:right="172"/>
            </w:pPr>
            <w:r>
              <w:t xml:space="preserve">Classi </w:t>
            </w:r>
            <w:r w:rsidR="005E32BF">
              <w:t>terze</w:t>
            </w:r>
          </w:p>
        </w:tc>
      </w:tr>
      <w:tr w:rsidR="00344506" w:rsidRPr="00807F67" w14:paraId="49A5BE71" w14:textId="77777777" w:rsidTr="00B27621">
        <w:trPr>
          <w:trHeight w:val="274"/>
        </w:trPr>
        <w:tc>
          <w:tcPr>
            <w:tcW w:w="3119" w:type="dxa"/>
            <w:vMerge w:val="restart"/>
          </w:tcPr>
          <w:p w14:paraId="25E68866" w14:textId="77777777" w:rsidR="00344506" w:rsidRPr="00465F7E" w:rsidRDefault="00344506" w:rsidP="00B27621">
            <w:pPr>
              <w:pStyle w:val="TableParagraph"/>
              <w:ind w:left="147" w:right="137"/>
              <w:rPr>
                <w:b/>
                <w:i/>
                <w:iCs/>
              </w:rPr>
            </w:pPr>
          </w:p>
          <w:p w14:paraId="180B7671" w14:textId="77777777" w:rsidR="00344506" w:rsidRPr="00465F7E" w:rsidRDefault="00344506" w:rsidP="00B27621">
            <w:pPr>
              <w:pStyle w:val="TableParagraph"/>
              <w:ind w:left="147" w:right="137"/>
              <w:rPr>
                <w:b/>
                <w:i/>
                <w:iCs/>
              </w:rPr>
            </w:pPr>
          </w:p>
          <w:p w14:paraId="0ACB882C" w14:textId="77777777" w:rsidR="00344506" w:rsidRPr="00465F7E" w:rsidRDefault="00344506" w:rsidP="00B27621">
            <w:pPr>
              <w:pStyle w:val="TableParagraph"/>
              <w:ind w:left="147" w:right="137"/>
              <w:rPr>
                <w:b/>
                <w:i/>
                <w:iCs/>
              </w:rPr>
            </w:pPr>
          </w:p>
          <w:p w14:paraId="3D33BF86" w14:textId="77777777" w:rsidR="00344506" w:rsidRPr="00465F7E" w:rsidRDefault="00344506" w:rsidP="00B27621">
            <w:pPr>
              <w:pStyle w:val="TableParagraph"/>
              <w:ind w:left="147" w:right="137"/>
              <w:rPr>
                <w:b/>
                <w:i/>
                <w:iCs/>
              </w:rPr>
            </w:pPr>
            <w:r w:rsidRPr="00465F7E">
              <w:rPr>
                <w:b/>
                <w:i/>
                <w:iCs/>
              </w:rPr>
              <w:t>Progetti di lettura</w:t>
            </w:r>
          </w:p>
        </w:tc>
        <w:tc>
          <w:tcPr>
            <w:tcW w:w="4153" w:type="dxa"/>
          </w:tcPr>
          <w:p w14:paraId="054752B9" w14:textId="77777777" w:rsidR="00344506" w:rsidRPr="00807F67" w:rsidRDefault="00344506" w:rsidP="00B27621">
            <w:pPr>
              <w:pStyle w:val="TableParagraph"/>
              <w:ind w:left="147" w:right="150"/>
              <w:rPr>
                <w:b/>
              </w:rPr>
            </w:pPr>
            <w:r w:rsidRPr="00807F67">
              <w:rPr>
                <w:b/>
              </w:rPr>
              <w:t>Quotidiano in classe</w:t>
            </w:r>
          </w:p>
          <w:p w14:paraId="1C3D2AEC" w14:textId="77777777" w:rsidR="00344506" w:rsidRPr="00807F67" w:rsidRDefault="00344506" w:rsidP="00B27621">
            <w:pPr>
              <w:pStyle w:val="TableParagraph"/>
              <w:ind w:left="147" w:right="150"/>
            </w:pPr>
            <w:r w:rsidRPr="00807F67">
              <w:t xml:space="preserve">Ogni giovedì le classi ricevono copie de </w:t>
            </w:r>
            <w:r w:rsidRPr="00807F67">
              <w:rPr>
                <w:i/>
              </w:rPr>
              <w:t>Il Corriere della Sera</w:t>
            </w:r>
            <w:r w:rsidRPr="00807F67">
              <w:t xml:space="preserve">, </w:t>
            </w:r>
            <w:r w:rsidRPr="00807F67">
              <w:rPr>
                <w:i/>
              </w:rPr>
              <w:t>Il Messaggero</w:t>
            </w:r>
            <w:r w:rsidRPr="00807F67">
              <w:t xml:space="preserve">, </w:t>
            </w:r>
            <w:r w:rsidRPr="00807F67">
              <w:rPr>
                <w:i/>
              </w:rPr>
              <w:t>La Repubblica, Il sole 24 ore</w:t>
            </w:r>
            <w:r w:rsidRPr="00807F67">
              <w:t xml:space="preserve"> così da avere la possibilità di affrontare </w:t>
            </w:r>
            <w:r>
              <w:t>le</w:t>
            </w:r>
            <w:r w:rsidRPr="00807F67">
              <w:t xml:space="preserve"> argomentazioni espresse su tali giornali con i propri </w:t>
            </w:r>
            <w:r w:rsidRPr="00807F67">
              <w:lastRenderedPageBreak/>
              <w:t>docenti.</w:t>
            </w:r>
          </w:p>
        </w:tc>
        <w:tc>
          <w:tcPr>
            <w:tcW w:w="2835" w:type="dxa"/>
          </w:tcPr>
          <w:p w14:paraId="71A45D8C" w14:textId="77777777" w:rsidR="00344506" w:rsidRPr="00807F67" w:rsidRDefault="00344506" w:rsidP="00B27621">
            <w:pPr>
              <w:pStyle w:val="TableParagraph"/>
              <w:ind w:left="107" w:right="172"/>
            </w:pPr>
            <w:r w:rsidRPr="00807F67">
              <w:lastRenderedPageBreak/>
              <w:t xml:space="preserve">Tutte le classi </w:t>
            </w:r>
          </w:p>
        </w:tc>
      </w:tr>
      <w:tr w:rsidR="00344506" w:rsidRPr="00807F67" w14:paraId="4145719E" w14:textId="77777777" w:rsidTr="00B27621">
        <w:trPr>
          <w:trHeight w:val="557"/>
        </w:trPr>
        <w:tc>
          <w:tcPr>
            <w:tcW w:w="3119" w:type="dxa"/>
            <w:vMerge/>
          </w:tcPr>
          <w:p w14:paraId="7687D52E" w14:textId="77777777" w:rsidR="00344506" w:rsidRPr="00465F7E" w:rsidRDefault="00344506" w:rsidP="00B27621">
            <w:pPr>
              <w:pStyle w:val="TableParagraph"/>
              <w:ind w:left="147" w:right="137"/>
              <w:rPr>
                <w:b/>
                <w:i/>
                <w:iCs/>
              </w:rPr>
            </w:pPr>
          </w:p>
        </w:tc>
        <w:tc>
          <w:tcPr>
            <w:tcW w:w="4153" w:type="dxa"/>
          </w:tcPr>
          <w:p w14:paraId="540A47A3" w14:textId="77777777" w:rsidR="00344506" w:rsidRPr="00807F67" w:rsidRDefault="00344506" w:rsidP="00B27621">
            <w:pPr>
              <w:pStyle w:val="TableParagraph"/>
              <w:ind w:left="147" w:right="150"/>
              <w:rPr>
                <w:b/>
                <w:bCs/>
              </w:rPr>
            </w:pPr>
            <w:r w:rsidRPr="00807F67">
              <w:rPr>
                <w:b/>
                <w:bCs/>
              </w:rPr>
              <w:t>Leggiamo Insieme.</w:t>
            </w:r>
          </w:p>
          <w:p w14:paraId="296B10DB" w14:textId="77777777" w:rsidR="00344506" w:rsidRPr="00807F67" w:rsidRDefault="00344506" w:rsidP="00B27621">
            <w:pPr>
              <w:pStyle w:val="TableParagraph"/>
              <w:ind w:left="147" w:right="150"/>
              <w:rPr>
                <w:b/>
              </w:rPr>
            </w:pPr>
            <w:r>
              <w:t>P</w:t>
            </w:r>
            <w:r w:rsidRPr="00807F67">
              <w:t>rogetto di lettura che vede protagonisti gli alunni</w:t>
            </w:r>
            <w:r>
              <w:t>,</w:t>
            </w:r>
            <w:r w:rsidRPr="00807F67">
              <w:t xml:space="preserve"> i docenti e i genitori</w:t>
            </w:r>
            <w:r>
              <w:t xml:space="preserve">, infatti tutti saranno coinvolti nella lettura </w:t>
            </w:r>
            <w:r w:rsidRPr="00807F67">
              <w:t>per poi a</w:t>
            </w:r>
            <w:r>
              <w:t>ve</w:t>
            </w:r>
            <w:r w:rsidRPr="00807F67">
              <w:t xml:space="preserve">re un </w:t>
            </w:r>
            <w:r>
              <w:t>incontro</w:t>
            </w:r>
            <w:r w:rsidRPr="00807F67">
              <w:t xml:space="preserve"> di condivisione e commento.</w:t>
            </w:r>
          </w:p>
        </w:tc>
        <w:tc>
          <w:tcPr>
            <w:tcW w:w="2835" w:type="dxa"/>
          </w:tcPr>
          <w:p w14:paraId="0B7276D5" w14:textId="77777777" w:rsidR="00344506" w:rsidRPr="00807F67" w:rsidRDefault="00344506" w:rsidP="00B27621">
            <w:pPr>
              <w:pStyle w:val="TableParagraph"/>
              <w:ind w:right="172"/>
            </w:pPr>
            <w:r>
              <w:t xml:space="preserve"> C</w:t>
            </w:r>
            <w:r w:rsidRPr="00807F67">
              <w:t xml:space="preserve">lassi del biennio </w:t>
            </w:r>
            <w:r>
              <w:t xml:space="preserve">e classi terze </w:t>
            </w:r>
            <w:r w:rsidRPr="00807F67">
              <w:t xml:space="preserve">di Viggiano e Marsico Nuovo </w:t>
            </w:r>
          </w:p>
        </w:tc>
      </w:tr>
      <w:tr w:rsidR="00344506" w:rsidRPr="00807F67" w14:paraId="44AC9277" w14:textId="77777777" w:rsidTr="00B27621">
        <w:trPr>
          <w:trHeight w:val="557"/>
        </w:trPr>
        <w:tc>
          <w:tcPr>
            <w:tcW w:w="3119" w:type="dxa"/>
            <w:vMerge/>
          </w:tcPr>
          <w:p w14:paraId="202482A2" w14:textId="77777777" w:rsidR="00344506" w:rsidRPr="00465F7E" w:rsidRDefault="00344506" w:rsidP="00B27621">
            <w:pPr>
              <w:pStyle w:val="TableParagraph"/>
              <w:ind w:left="147" w:right="137"/>
              <w:rPr>
                <w:b/>
                <w:i/>
                <w:iCs/>
              </w:rPr>
            </w:pPr>
          </w:p>
        </w:tc>
        <w:tc>
          <w:tcPr>
            <w:tcW w:w="4153" w:type="dxa"/>
          </w:tcPr>
          <w:p w14:paraId="33B4383A" w14:textId="77777777" w:rsidR="00344506" w:rsidRPr="00FE0198" w:rsidRDefault="00344506" w:rsidP="00B27621">
            <w:pPr>
              <w:pStyle w:val="TableParagraph"/>
              <w:ind w:left="147" w:right="150"/>
              <w:rPr>
                <w:b/>
              </w:rPr>
            </w:pPr>
            <w:r w:rsidRPr="00FE0198">
              <w:rPr>
                <w:b/>
              </w:rPr>
              <w:t>Libriamoci. #Ioleggoperché</w:t>
            </w:r>
          </w:p>
          <w:p w14:paraId="23DDC577" w14:textId="77777777" w:rsidR="00344506" w:rsidRPr="00FE0198" w:rsidRDefault="00344506" w:rsidP="00B27621">
            <w:pPr>
              <w:pStyle w:val="TableParagraph"/>
              <w:ind w:left="147" w:right="150"/>
            </w:pPr>
            <w:r w:rsidRPr="00FE0198">
              <w:t>Progetto, promosso dal </w:t>
            </w:r>
            <w:r w:rsidRPr="00FE0198">
              <w:rPr>
                <w:bCs/>
              </w:rPr>
              <w:t>Ministero della Cultura</w:t>
            </w:r>
            <w:r w:rsidRPr="00FE0198">
              <w:t>, attraverso il </w:t>
            </w:r>
            <w:r w:rsidRPr="00FE0198">
              <w:rPr>
                <w:bCs/>
              </w:rPr>
              <w:t>Centro per il libro e la lettura</w:t>
            </w:r>
            <w:r w:rsidRPr="00FE0198">
              <w:t> e dal </w:t>
            </w:r>
            <w:r w:rsidRPr="00FE0198">
              <w:rPr>
                <w:bCs/>
              </w:rPr>
              <w:t>Ministero dell’Istruzione e del Merito</w:t>
            </w:r>
            <w:r w:rsidRPr="00FE0198">
              <w:t> (MIM) – </w:t>
            </w:r>
            <w:r w:rsidRPr="00FE0198">
              <w:rPr>
                <w:bCs/>
              </w:rPr>
              <w:t>Direzione generale per lo studente, l’inclusione e l’orientamento scolastico</w:t>
            </w:r>
            <w:r w:rsidRPr="00FE0198">
              <w:t xml:space="preserve">, finalizzato a diffondere e ad accrescere l’amore per i libri e l’abitudine alla lettura, attraverso momenti di ascolto e partecipazione attiva come sfide e maratone letterarie tra le classi, realizzazione di audiolibri, performance di libri viventi, gare di lettura espressiva, incontri con lettori volontari esterni. </w:t>
            </w:r>
          </w:p>
          <w:p w14:paraId="0DED2925" w14:textId="2A312FA1" w:rsidR="00344506" w:rsidRPr="00ED7728" w:rsidRDefault="00344506" w:rsidP="00B27621">
            <w:pPr>
              <w:pStyle w:val="TableParagraph"/>
              <w:ind w:left="147" w:right="150"/>
            </w:pPr>
            <w:r w:rsidRPr="00FE0198">
              <w:t>Si svolge </w:t>
            </w:r>
            <w:r w:rsidRPr="00FE0198">
              <w:rPr>
                <w:bCs/>
              </w:rPr>
              <w:t>dal 1</w:t>
            </w:r>
            <w:r w:rsidR="008262B6" w:rsidRPr="00FE0198">
              <w:rPr>
                <w:bCs/>
              </w:rPr>
              <w:t>7</w:t>
            </w:r>
            <w:r w:rsidRPr="00FE0198">
              <w:rPr>
                <w:bCs/>
              </w:rPr>
              <w:t xml:space="preserve"> </w:t>
            </w:r>
            <w:r w:rsidR="00E53B4F" w:rsidRPr="00FE0198">
              <w:rPr>
                <w:bCs/>
              </w:rPr>
              <w:t>al 22 febbraio</w:t>
            </w:r>
            <w:r w:rsidRPr="00FE0198">
              <w:rPr>
                <w:bCs/>
              </w:rPr>
              <w:t xml:space="preserve"> 202</w:t>
            </w:r>
            <w:r w:rsidR="00E53B4F" w:rsidRPr="00FE0198">
              <w:rPr>
                <w:bCs/>
              </w:rPr>
              <w:t>5</w:t>
            </w:r>
            <w:r w:rsidRPr="00FE0198">
              <w:rPr>
                <w:bCs/>
              </w:rPr>
              <w:t> </w:t>
            </w:r>
            <w:r w:rsidRPr="00FE0198">
              <w:t>e invita ad ideare e organizzare </w:t>
            </w:r>
            <w:r w:rsidRPr="00FE0198">
              <w:rPr>
                <w:bCs/>
              </w:rPr>
              <w:t>iniziative di lettura a voce alta</w:t>
            </w:r>
            <w:r w:rsidRPr="00FE0198">
              <w:t>, sia in presenza che online, volte a stimolare nelle studentesse e negli studenti il piacere di leggere.</w:t>
            </w:r>
          </w:p>
        </w:tc>
        <w:tc>
          <w:tcPr>
            <w:tcW w:w="2835" w:type="dxa"/>
          </w:tcPr>
          <w:p w14:paraId="5E502BC8" w14:textId="77777777" w:rsidR="00344506" w:rsidRPr="00807F67" w:rsidRDefault="00344506" w:rsidP="00B27621">
            <w:pPr>
              <w:pStyle w:val="TableParagraph"/>
              <w:ind w:left="107" w:right="172"/>
              <w:rPr>
                <w:highlight w:val="yellow"/>
              </w:rPr>
            </w:pPr>
            <w:r>
              <w:t>Tutte le c</w:t>
            </w:r>
            <w:r w:rsidRPr="00807F67">
              <w:t>lassi</w:t>
            </w:r>
            <w:r>
              <w:t>.</w:t>
            </w:r>
          </w:p>
        </w:tc>
      </w:tr>
      <w:tr w:rsidR="00344506" w:rsidRPr="00807F67" w14:paraId="09164BB0" w14:textId="77777777" w:rsidTr="00B27621">
        <w:trPr>
          <w:trHeight w:val="2186"/>
        </w:trPr>
        <w:tc>
          <w:tcPr>
            <w:tcW w:w="3119" w:type="dxa"/>
            <w:vMerge w:val="restart"/>
          </w:tcPr>
          <w:p w14:paraId="2B7BADE8" w14:textId="77777777" w:rsidR="00344506" w:rsidRPr="00465F7E" w:rsidRDefault="00344506" w:rsidP="00B27621">
            <w:pPr>
              <w:pStyle w:val="TableParagraph"/>
              <w:ind w:left="147" w:right="137"/>
              <w:rPr>
                <w:b/>
                <w:i/>
                <w:iCs/>
              </w:rPr>
            </w:pPr>
          </w:p>
          <w:p w14:paraId="42CB6C7B" w14:textId="77777777" w:rsidR="00344506" w:rsidRPr="00465F7E" w:rsidRDefault="00344506" w:rsidP="00B27621">
            <w:pPr>
              <w:pStyle w:val="TableParagraph"/>
              <w:ind w:left="147" w:right="137"/>
              <w:rPr>
                <w:b/>
                <w:i/>
                <w:iCs/>
              </w:rPr>
            </w:pPr>
          </w:p>
          <w:p w14:paraId="110D844D" w14:textId="77777777" w:rsidR="00344506" w:rsidRPr="00465F7E" w:rsidRDefault="00344506" w:rsidP="00B27621">
            <w:pPr>
              <w:pStyle w:val="TableParagraph"/>
              <w:ind w:left="147" w:right="137"/>
              <w:rPr>
                <w:b/>
                <w:i/>
                <w:iCs/>
              </w:rPr>
            </w:pPr>
          </w:p>
          <w:p w14:paraId="4E993ABD" w14:textId="77777777" w:rsidR="00344506" w:rsidRPr="00465F7E" w:rsidRDefault="00344506" w:rsidP="00B27621">
            <w:pPr>
              <w:pStyle w:val="TableParagraph"/>
              <w:ind w:left="147" w:right="137"/>
              <w:rPr>
                <w:b/>
                <w:i/>
                <w:iCs/>
              </w:rPr>
            </w:pPr>
          </w:p>
          <w:p w14:paraId="676F4A69" w14:textId="77777777" w:rsidR="00344506" w:rsidRPr="00465F7E" w:rsidRDefault="00344506" w:rsidP="00B27621">
            <w:pPr>
              <w:pStyle w:val="TableParagraph"/>
              <w:ind w:left="147" w:right="137"/>
              <w:rPr>
                <w:b/>
                <w:i/>
                <w:iCs/>
              </w:rPr>
            </w:pPr>
          </w:p>
          <w:p w14:paraId="3386919C" w14:textId="77777777" w:rsidR="00344506" w:rsidRPr="00465F7E" w:rsidRDefault="00344506" w:rsidP="00B27621">
            <w:pPr>
              <w:pStyle w:val="TableParagraph"/>
              <w:ind w:left="147" w:right="137"/>
              <w:rPr>
                <w:b/>
                <w:i/>
                <w:iCs/>
              </w:rPr>
            </w:pPr>
            <w:r w:rsidRPr="00465F7E">
              <w:rPr>
                <w:b/>
                <w:i/>
                <w:iCs/>
              </w:rPr>
              <w:t>Progetti Linguistici (mobilità)</w:t>
            </w:r>
          </w:p>
        </w:tc>
        <w:tc>
          <w:tcPr>
            <w:tcW w:w="4153" w:type="dxa"/>
            <w:shd w:val="clear" w:color="auto" w:fill="auto"/>
          </w:tcPr>
          <w:p w14:paraId="4C8CE3FD" w14:textId="77777777" w:rsidR="00344506" w:rsidRPr="00807F67" w:rsidRDefault="00344506" w:rsidP="00B27621">
            <w:pPr>
              <w:ind w:left="147" w:right="143"/>
            </w:pPr>
            <w:r w:rsidRPr="00807F67">
              <w:rPr>
                <w:b/>
              </w:rPr>
              <w:t>Erasmus</w:t>
            </w:r>
            <w:r w:rsidRPr="00807F67">
              <w:t>: Il programma Erasmus+ offre agli istituti di istruzione superiore la possibilità di inviare studenti e personale all'estero (in altri paesi partecipanti al programma o paesi partner) per studiare, insegnare o dare corsi di formazione presso gli istituti partecipanti o per partecipare a un tirocinio.</w:t>
            </w:r>
          </w:p>
        </w:tc>
        <w:tc>
          <w:tcPr>
            <w:tcW w:w="2835" w:type="dxa"/>
            <w:shd w:val="clear" w:color="auto" w:fill="auto"/>
          </w:tcPr>
          <w:p w14:paraId="54134457" w14:textId="77777777" w:rsidR="00344506" w:rsidRDefault="00344506" w:rsidP="00B27621">
            <w:pPr>
              <w:pStyle w:val="TableParagraph"/>
              <w:ind w:left="107" w:right="172"/>
            </w:pPr>
          </w:p>
          <w:p w14:paraId="023198DF" w14:textId="77777777" w:rsidR="00344506" w:rsidRDefault="00344506" w:rsidP="00B27621">
            <w:pPr>
              <w:pStyle w:val="TableParagraph"/>
              <w:ind w:left="107" w:right="172"/>
            </w:pPr>
          </w:p>
          <w:p w14:paraId="43C25FA1" w14:textId="77777777" w:rsidR="00344506" w:rsidRDefault="00344506" w:rsidP="00B27621">
            <w:pPr>
              <w:pStyle w:val="TableParagraph"/>
              <w:ind w:left="107" w:right="172"/>
            </w:pPr>
          </w:p>
          <w:p w14:paraId="12DB7B4F" w14:textId="77777777" w:rsidR="00344506" w:rsidRPr="00807F67" w:rsidRDefault="00344506" w:rsidP="00B27621">
            <w:pPr>
              <w:pStyle w:val="TableParagraph"/>
              <w:ind w:left="107" w:right="172"/>
            </w:pPr>
            <w:r>
              <w:t xml:space="preserve">Tutti gli studenti </w:t>
            </w:r>
          </w:p>
        </w:tc>
      </w:tr>
      <w:tr w:rsidR="00344506" w:rsidRPr="00807F67" w14:paraId="55C9E394" w14:textId="77777777" w:rsidTr="00B27621">
        <w:trPr>
          <w:trHeight w:val="722"/>
        </w:trPr>
        <w:tc>
          <w:tcPr>
            <w:tcW w:w="3119" w:type="dxa"/>
            <w:vMerge/>
          </w:tcPr>
          <w:p w14:paraId="37624514" w14:textId="77777777" w:rsidR="00344506" w:rsidRPr="00465F7E" w:rsidRDefault="00344506" w:rsidP="00B27621">
            <w:pPr>
              <w:pStyle w:val="TableParagraph"/>
              <w:ind w:left="147" w:right="137"/>
              <w:rPr>
                <w:b/>
                <w:i/>
                <w:iCs/>
              </w:rPr>
            </w:pPr>
          </w:p>
        </w:tc>
        <w:tc>
          <w:tcPr>
            <w:tcW w:w="4153" w:type="dxa"/>
          </w:tcPr>
          <w:p w14:paraId="5000D533" w14:textId="77777777" w:rsidR="00344506" w:rsidRPr="00807F67" w:rsidRDefault="00344506" w:rsidP="00B27621">
            <w:pPr>
              <w:pStyle w:val="TableParagraph"/>
              <w:ind w:left="147" w:right="143"/>
            </w:pPr>
            <w:r w:rsidRPr="00807F67">
              <w:rPr>
                <w:b/>
              </w:rPr>
              <w:t>Stage linguistici</w:t>
            </w:r>
            <w:r w:rsidRPr="00807F67">
              <w:t xml:space="preserve"> all’estero con frequenza di corsi di lingue o in modalità Alternanza scuola-lavoro</w:t>
            </w:r>
          </w:p>
        </w:tc>
        <w:tc>
          <w:tcPr>
            <w:tcW w:w="2835" w:type="dxa"/>
          </w:tcPr>
          <w:p w14:paraId="4AFFE390" w14:textId="77777777" w:rsidR="00344506" w:rsidRPr="00807F67" w:rsidRDefault="00344506" w:rsidP="00B27621">
            <w:pPr>
              <w:pStyle w:val="TableParagraph"/>
              <w:ind w:left="107" w:right="239"/>
            </w:pPr>
            <w:r>
              <w:t xml:space="preserve">Studenti </w:t>
            </w:r>
            <w:r w:rsidRPr="00807F67">
              <w:t>del triennio del liceo linguistico</w:t>
            </w:r>
          </w:p>
        </w:tc>
      </w:tr>
      <w:tr w:rsidR="00344506" w:rsidRPr="00807F67" w14:paraId="3A8969DD" w14:textId="77777777" w:rsidTr="00B27621">
        <w:trPr>
          <w:trHeight w:val="827"/>
        </w:trPr>
        <w:tc>
          <w:tcPr>
            <w:tcW w:w="3119" w:type="dxa"/>
            <w:vMerge/>
          </w:tcPr>
          <w:p w14:paraId="3D2C7D8E" w14:textId="77777777" w:rsidR="00344506" w:rsidRPr="00465F7E" w:rsidRDefault="00344506" w:rsidP="00B27621">
            <w:pPr>
              <w:pStyle w:val="TableParagraph"/>
              <w:ind w:left="147" w:right="137"/>
              <w:rPr>
                <w:b/>
                <w:i/>
                <w:iCs/>
              </w:rPr>
            </w:pPr>
          </w:p>
        </w:tc>
        <w:tc>
          <w:tcPr>
            <w:tcW w:w="4153" w:type="dxa"/>
          </w:tcPr>
          <w:p w14:paraId="6ED993CA" w14:textId="77777777" w:rsidR="00344506" w:rsidRPr="00807F67" w:rsidRDefault="00344506" w:rsidP="00B27621">
            <w:pPr>
              <w:pStyle w:val="TableParagraph"/>
              <w:ind w:left="147" w:right="143"/>
            </w:pPr>
            <w:r w:rsidRPr="00807F67">
              <w:rPr>
                <w:b/>
              </w:rPr>
              <w:t>Mini Erasmus</w:t>
            </w:r>
            <w:r w:rsidRPr="00807F67">
              <w:t>: progetto di mobilità studentesca all’estero finalizzato alla certificazione linguistica in inglese o all’alternanza scuola-lavoro e destinato agli alunni meritevoli</w:t>
            </w:r>
          </w:p>
        </w:tc>
        <w:tc>
          <w:tcPr>
            <w:tcW w:w="2835" w:type="dxa"/>
          </w:tcPr>
          <w:p w14:paraId="2C07991B" w14:textId="77777777" w:rsidR="00344506" w:rsidRPr="00807F67" w:rsidRDefault="00344506" w:rsidP="00B27621">
            <w:pPr>
              <w:pStyle w:val="TableParagraph"/>
              <w:ind w:left="107" w:right="158"/>
            </w:pPr>
            <w:r>
              <w:t>Studenti</w:t>
            </w:r>
            <w:r w:rsidRPr="00807F67">
              <w:t xml:space="preserve"> meritevoli delle quarte e delle terze</w:t>
            </w:r>
          </w:p>
        </w:tc>
      </w:tr>
      <w:tr w:rsidR="00344506" w:rsidRPr="00807F67" w14:paraId="25EDC791" w14:textId="77777777" w:rsidTr="00B27621">
        <w:trPr>
          <w:trHeight w:val="827"/>
        </w:trPr>
        <w:tc>
          <w:tcPr>
            <w:tcW w:w="3119" w:type="dxa"/>
          </w:tcPr>
          <w:p w14:paraId="44AF20F2" w14:textId="77777777" w:rsidR="00344506" w:rsidRPr="00465F7E" w:rsidRDefault="00344506" w:rsidP="00B27621">
            <w:pPr>
              <w:pStyle w:val="TableParagraph"/>
              <w:ind w:left="147" w:right="137"/>
              <w:rPr>
                <w:b/>
                <w:i/>
                <w:iCs/>
              </w:rPr>
            </w:pPr>
            <w:r w:rsidRPr="00465F7E">
              <w:rPr>
                <w:b/>
                <w:i/>
                <w:iCs/>
              </w:rPr>
              <w:t>Incontri di approfondimento con esperti</w:t>
            </w:r>
          </w:p>
        </w:tc>
        <w:tc>
          <w:tcPr>
            <w:tcW w:w="4153" w:type="dxa"/>
          </w:tcPr>
          <w:p w14:paraId="0D8FBFB4" w14:textId="77777777" w:rsidR="00344506" w:rsidRPr="00807F67" w:rsidRDefault="00344506" w:rsidP="00B27621">
            <w:pPr>
              <w:pStyle w:val="TableParagraph"/>
              <w:ind w:left="147" w:right="96"/>
            </w:pPr>
            <w:r w:rsidRPr="00807F67">
              <w:t>Approfondimenti, anche in orario non curricolare, con esperti (Università, Fondazioni, Associazioni culturali, etc.) su temi di interesse pedagogico- didattico, culturale e di attualità.</w:t>
            </w:r>
          </w:p>
        </w:tc>
        <w:tc>
          <w:tcPr>
            <w:tcW w:w="2835" w:type="dxa"/>
          </w:tcPr>
          <w:p w14:paraId="5EBA236C" w14:textId="77777777" w:rsidR="00344506" w:rsidRPr="00807F67" w:rsidRDefault="00344506" w:rsidP="00B27621">
            <w:pPr>
              <w:pStyle w:val="TableParagraph"/>
              <w:ind w:left="107" w:right="239"/>
            </w:pPr>
            <w:r w:rsidRPr="00807F67">
              <w:t>Tutte le classi</w:t>
            </w:r>
          </w:p>
        </w:tc>
      </w:tr>
      <w:tr w:rsidR="00344506" w:rsidRPr="00807F67" w14:paraId="2A69E41C" w14:textId="77777777" w:rsidTr="00B27621">
        <w:trPr>
          <w:trHeight w:val="1224"/>
        </w:trPr>
        <w:tc>
          <w:tcPr>
            <w:tcW w:w="3119" w:type="dxa"/>
            <w:vMerge w:val="restart"/>
          </w:tcPr>
          <w:p w14:paraId="2E0DDDA5" w14:textId="77777777" w:rsidR="00344506" w:rsidRPr="00465F7E" w:rsidRDefault="00344506" w:rsidP="00B27621">
            <w:pPr>
              <w:pStyle w:val="TableParagraph"/>
              <w:ind w:left="147" w:right="137"/>
              <w:rPr>
                <w:b/>
                <w:i/>
                <w:iCs/>
              </w:rPr>
            </w:pPr>
            <w:r w:rsidRPr="00465F7E">
              <w:rPr>
                <w:b/>
                <w:i/>
                <w:iCs/>
              </w:rPr>
              <w:t xml:space="preserve">Viaggi d’integrazione culturale e </w:t>
            </w:r>
            <w:r>
              <w:rPr>
                <w:b/>
                <w:i/>
                <w:iCs/>
              </w:rPr>
              <w:t>u</w:t>
            </w:r>
            <w:r w:rsidRPr="00465F7E">
              <w:rPr>
                <w:b/>
                <w:i/>
                <w:iCs/>
              </w:rPr>
              <w:t>scite didattiche</w:t>
            </w:r>
          </w:p>
        </w:tc>
        <w:tc>
          <w:tcPr>
            <w:tcW w:w="4153" w:type="dxa"/>
          </w:tcPr>
          <w:p w14:paraId="64FCBFDB" w14:textId="77777777" w:rsidR="00344506" w:rsidRPr="00807F67" w:rsidRDefault="00344506" w:rsidP="00B27621">
            <w:pPr>
              <w:pStyle w:val="TableParagraph"/>
              <w:ind w:left="147" w:right="150"/>
            </w:pPr>
            <w:r w:rsidRPr="00807F67">
              <w:t>Approfondimenti di tematiche disciplinari e pluridisciplinari attraverso la visita di luoghi significativi dal punto di vista culturale e artistico (durata max. 5 giorni)</w:t>
            </w:r>
          </w:p>
        </w:tc>
        <w:tc>
          <w:tcPr>
            <w:tcW w:w="2835" w:type="dxa"/>
          </w:tcPr>
          <w:p w14:paraId="4F59283F" w14:textId="77777777" w:rsidR="00344506" w:rsidRPr="00807F67" w:rsidRDefault="00344506" w:rsidP="00B27621">
            <w:pPr>
              <w:pStyle w:val="TableParagraph"/>
              <w:ind w:left="107" w:right="575"/>
            </w:pPr>
            <w:r>
              <w:t>Classi</w:t>
            </w:r>
            <w:r w:rsidRPr="00807F67">
              <w:t xml:space="preserve"> secondo biennio e ultimo anno</w:t>
            </w:r>
          </w:p>
        </w:tc>
      </w:tr>
      <w:tr w:rsidR="00344506" w:rsidRPr="00807F67" w14:paraId="7A855C27" w14:textId="77777777" w:rsidTr="00B27621">
        <w:trPr>
          <w:trHeight w:val="1379"/>
        </w:trPr>
        <w:tc>
          <w:tcPr>
            <w:tcW w:w="3119" w:type="dxa"/>
            <w:vMerge/>
          </w:tcPr>
          <w:p w14:paraId="3B60DD3D" w14:textId="77777777" w:rsidR="00344506" w:rsidRPr="00465F7E" w:rsidRDefault="00344506" w:rsidP="00B27621">
            <w:pPr>
              <w:pStyle w:val="TableParagraph"/>
              <w:ind w:left="147" w:right="137"/>
              <w:rPr>
                <w:b/>
                <w:i/>
                <w:iCs/>
              </w:rPr>
            </w:pPr>
          </w:p>
        </w:tc>
        <w:tc>
          <w:tcPr>
            <w:tcW w:w="4153" w:type="dxa"/>
          </w:tcPr>
          <w:p w14:paraId="0E14498D" w14:textId="77777777" w:rsidR="00344506" w:rsidRPr="00807F67" w:rsidRDefault="00344506" w:rsidP="00B27621">
            <w:pPr>
              <w:pStyle w:val="TableParagraph"/>
              <w:ind w:left="57" w:right="139"/>
            </w:pPr>
            <w:r w:rsidRPr="00807F67">
              <w:t>Approfondimenti di tematiche disciplinari e pluridisciplinari attraverso la visita di luoghi d’interesse in relazione alla programmazione didattica (durata 1 giorno max. 2)</w:t>
            </w:r>
          </w:p>
        </w:tc>
        <w:tc>
          <w:tcPr>
            <w:tcW w:w="2835" w:type="dxa"/>
          </w:tcPr>
          <w:p w14:paraId="3B565846" w14:textId="77777777" w:rsidR="00344506" w:rsidRPr="00807F67" w:rsidRDefault="00344506" w:rsidP="00B27621">
            <w:pPr>
              <w:pStyle w:val="TableParagraph"/>
              <w:ind w:left="107" w:right="832"/>
            </w:pPr>
            <w:r>
              <w:t>Classi</w:t>
            </w:r>
            <w:r w:rsidRPr="00807F67">
              <w:t xml:space="preserve"> primo biennio</w:t>
            </w:r>
          </w:p>
        </w:tc>
      </w:tr>
      <w:tr w:rsidR="00344506" w:rsidRPr="00807F67" w14:paraId="392AADA7" w14:textId="77777777" w:rsidTr="00B27621">
        <w:trPr>
          <w:trHeight w:val="2154"/>
        </w:trPr>
        <w:tc>
          <w:tcPr>
            <w:tcW w:w="3119" w:type="dxa"/>
          </w:tcPr>
          <w:p w14:paraId="29E05291" w14:textId="2DE76FEE" w:rsidR="00344506" w:rsidRPr="00465F7E" w:rsidRDefault="00344506" w:rsidP="00B27621">
            <w:pPr>
              <w:pStyle w:val="TableParagraph"/>
              <w:ind w:left="147" w:right="137"/>
              <w:rPr>
                <w:b/>
                <w:i/>
                <w:iCs/>
              </w:rPr>
            </w:pPr>
            <w:r w:rsidRPr="00465F7E">
              <w:rPr>
                <w:b/>
                <w:i/>
                <w:iCs/>
              </w:rPr>
              <w:t>A scuola di accoglienza e di bellezza. La biblioteca scolastica come luogo di integrazione e di inclusione</w:t>
            </w:r>
          </w:p>
        </w:tc>
        <w:tc>
          <w:tcPr>
            <w:tcW w:w="4153" w:type="dxa"/>
          </w:tcPr>
          <w:p w14:paraId="42309832" w14:textId="39762094" w:rsidR="00344506" w:rsidRPr="00807F67" w:rsidRDefault="00344506" w:rsidP="00B27621">
            <w:pPr>
              <w:pStyle w:val="TableParagraph"/>
              <w:ind w:left="147" w:right="123"/>
            </w:pPr>
            <w:r w:rsidRPr="003B7349">
              <w:t>La bibliomediateca della scuola si propone di promuovere incontri di lettura, laboratori di creatività (musica, poesia, etc.), momenti di riflessione ed altre iniziative culturali, aperte anche al territorio, da realizzare in collaborazione con gli studenti e le Associazioni culturali territoriali, sui temi dell’integrazione e del multiculturalismo.</w:t>
            </w:r>
          </w:p>
        </w:tc>
        <w:tc>
          <w:tcPr>
            <w:tcW w:w="2835" w:type="dxa"/>
          </w:tcPr>
          <w:p w14:paraId="5D4B9F49" w14:textId="588FF05A" w:rsidR="00294EAD" w:rsidRPr="00294EAD" w:rsidRDefault="00344506" w:rsidP="00B27621">
            <w:pPr>
              <w:pStyle w:val="TableParagraph"/>
              <w:ind w:left="107"/>
            </w:pPr>
            <w:r w:rsidRPr="00807F67">
              <w:t>Tutti gli studenti</w:t>
            </w:r>
          </w:p>
        </w:tc>
      </w:tr>
      <w:tr w:rsidR="00344506" w:rsidRPr="00807F67" w14:paraId="0D3C52D9" w14:textId="77777777" w:rsidTr="00B27621">
        <w:trPr>
          <w:trHeight w:val="944"/>
        </w:trPr>
        <w:tc>
          <w:tcPr>
            <w:tcW w:w="3119" w:type="dxa"/>
            <w:vMerge w:val="restart"/>
          </w:tcPr>
          <w:p w14:paraId="3554BC5B" w14:textId="77777777" w:rsidR="00344506" w:rsidRPr="00465F7E" w:rsidRDefault="00344506" w:rsidP="00B27621">
            <w:pPr>
              <w:pStyle w:val="TableParagraph"/>
              <w:ind w:left="147" w:right="137"/>
              <w:rPr>
                <w:b/>
                <w:i/>
                <w:iCs/>
              </w:rPr>
            </w:pPr>
            <w:r w:rsidRPr="00465F7E">
              <w:rPr>
                <w:b/>
                <w:i/>
                <w:iCs/>
              </w:rPr>
              <w:t>Educazione alla salute e alla sicurezza</w:t>
            </w:r>
          </w:p>
        </w:tc>
        <w:tc>
          <w:tcPr>
            <w:tcW w:w="4153" w:type="dxa"/>
          </w:tcPr>
          <w:p w14:paraId="0ECABCFD" w14:textId="77777777" w:rsidR="00344506" w:rsidRPr="00807F67" w:rsidRDefault="00344506" w:rsidP="00B27621">
            <w:pPr>
              <w:pStyle w:val="TableParagraph"/>
              <w:ind w:left="147" w:right="123"/>
            </w:pPr>
            <w:r w:rsidRPr="00807F67">
              <w:t>Incontri con esperti sul tema della lotta contro le dipendenze, della sicurezza stradale e nei luoghi di lavoro, del rispetto dell’ambiente</w:t>
            </w:r>
          </w:p>
        </w:tc>
        <w:tc>
          <w:tcPr>
            <w:tcW w:w="2835" w:type="dxa"/>
          </w:tcPr>
          <w:p w14:paraId="12C0E5CB" w14:textId="77777777" w:rsidR="00344506" w:rsidRPr="00807F67" w:rsidRDefault="00344506" w:rsidP="00B27621">
            <w:pPr>
              <w:pStyle w:val="TableParagraph"/>
              <w:ind w:left="107" w:right="349" w:hanging="70"/>
            </w:pPr>
            <w:r w:rsidRPr="00807F67">
              <w:t>Tutte le classi</w:t>
            </w:r>
          </w:p>
        </w:tc>
      </w:tr>
      <w:tr w:rsidR="00344506" w:rsidRPr="00807F67" w14:paraId="4ED53BA6" w14:textId="77777777" w:rsidTr="00B27621">
        <w:trPr>
          <w:trHeight w:val="944"/>
        </w:trPr>
        <w:tc>
          <w:tcPr>
            <w:tcW w:w="3119" w:type="dxa"/>
            <w:vMerge/>
          </w:tcPr>
          <w:p w14:paraId="5E4307DA" w14:textId="77777777" w:rsidR="00344506" w:rsidRPr="00465F7E" w:rsidRDefault="00344506" w:rsidP="00B27621">
            <w:pPr>
              <w:pStyle w:val="TableParagraph"/>
              <w:ind w:left="147" w:right="137"/>
              <w:rPr>
                <w:b/>
                <w:i/>
                <w:iCs/>
              </w:rPr>
            </w:pPr>
          </w:p>
        </w:tc>
        <w:tc>
          <w:tcPr>
            <w:tcW w:w="4153" w:type="dxa"/>
          </w:tcPr>
          <w:p w14:paraId="4C9118CD" w14:textId="77777777" w:rsidR="00344506" w:rsidRPr="00807F67" w:rsidRDefault="00344506" w:rsidP="00B27621">
            <w:pPr>
              <w:pStyle w:val="TableParagraph"/>
              <w:ind w:left="167" w:right="142"/>
            </w:pPr>
            <w:r w:rsidRPr="00807F67">
              <w:t>Icaro Progetto Stradale</w:t>
            </w:r>
            <w:r>
              <w:rPr>
                <w:bCs/>
              </w:rPr>
              <w:t>.</w:t>
            </w:r>
            <w:r w:rsidRPr="00807F67">
              <w:rPr>
                <w:bCs/>
              </w:rPr>
              <w:t xml:space="preserve"> Incontro con il personale del </w:t>
            </w:r>
            <w:r>
              <w:rPr>
                <w:bCs/>
              </w:rPr>
              <w:t>M</w:t>
            </w:r>
            <w:r w:rsidRPr="00807F67">
              <w:rPr>
                <w:bCs/>
              </w:rPr>
              <w:t xml:space="preserve">inistero degli </w:t>
            </w:r>
            <w:r>
              <w:rPr>
                <w:bCs/>
              </w:rPr>
              <w:t>I</w:t>
            </w:r>
            <w:r w:rsidRPr="00807F67">
              <w:rPr>
                <w:bCs/>
              </w:rPr>
              <w:t xml:space="preserve">nterni: </w:t>
            </w:r>
            <w:r>
              <w:rPr>
                <w:bCs/>
              </w:rPr>
              <w:t>P</w:t>
            </w:r>
            <w:r w:rsidRPr="00807F67">
              <w:rPr>
                <w:bCs/>
              </w:rPr>
              <w:t>olizia stradale.</w:t>
            </w:r>
          </w:p>
        </w:tc>
        <w:tc>
          <w:tcPr>
            <w:tcW w:w="2835" w:type="dxa"/>
          </w:tcPr>
          <w:p w14:paraId="16762E27" w14:textId="3B2D6255" w:rsidR="00344506" w:rsidRPr="00807F67" w:rsidRDefault="00ED165F" w:rsidP="00B27621">
            <w:pPr>
              <w:pStyle w:val="TableParagraph"/>
              <w:ind w:right="98"/>
              <w:rPr>
                <w:bCs/>
              </w:rPr>
            </w:pPr>
            <w:r>
              <w:rPr>
                <w:sz w:val="24"/>
                <w:szCs w:val="24"/>
              </w:rPr>
              <w:t xml:space="preserve"> </w:t>
            </w:r>
            <w:r w:rsidRPr="0045114D">
              <w:rPr>
                <w:sz w:val="24"/>
                <w:szCs w:val="24"/>
              </w:rPr>
              <w:t>Classi del triennio</w:t>
            </w:r>
          </w:p>
        </w:tc>
      </w:tr>
      <w:tr w:rsidR="00344506" w:rsidRPr="00807F67" w14:paraId="36B4FBE3" w14:textId="77777777" w:rsidTr="00B27621">
        <w:trPr>
          <w:trHeight w:val="561"/>
        </w:trPr>
        <w:tc>
          <w:tcPr>
            <w:tcW w:w="3119" w:type="dxa"/>
          </w:tcPr>
          <w:p w14:paraId="655E32F5" w14:textId="4F1BF6E3" w:rsidR="00344506" w:rsidRPr="00465F7E" w:rsidRDefault="00344506" w:rsidP="00B27621">
            <w:pPr>
              <w:pStyle w:val="TableParagraph"/>
              <w:ind w:left="147" w:right="137"/>
              <w:rPr>
                <w:b/>
                <w:i/>
                <w:iCs/>
              </w:rPr>
            </w:pPr>
            <w:r w:rsidRPr="00465F7E">
              <w:rPr>
                <w:b/>
                <w:i/>
                <w:iCs/>
              </w:rPr>
              <w:t>Educazione alla legalità anche fiscale</w:t>
            </w:r>
            <w:r w:rsidR="0077767E">
              <w:rPr>
                <w:b/>
                <w:i/>
                <w:iCs/>
              </w:rPr>
              <w:t xml:space="preserve"> e finanziaria</w:t>
            </w:r>
          </w:p>
        </w:tc>
        <w:tc>
          <w:tcPr>
            <w:tcW w:w="4153" w:type="dxa"/>
          </w:tcPr>
          <w:p w14:paraId="69D5D12B" w14:textId="77777777" w:rsidR="00344506" w:rsidRPr="00807F67" w:rsidRDefault="00344506" w:rsidP="00B27621">
            <w:pPr>
              <w:pStyle w:val="TableParagraph"/>
              <w:ind w:left="142" w:right="150"/>
            </w:pPr>
            <w:r>
              <w:t xml:space="preserve">Attività finalizzate </w:t>
            </w:r>
            <w:r w:rsidRPr="00CA74BB">
              <w:t>al</w:t>
            </w:r>
            <w:r w:rsidRPr="00CA74BB">
              <w:rPr>
                <w:spacing w:val="5"/>
              </w:rPr>
              <w:t>l’acquisizione</w:t>
            </w:r>
            <w:r w:rsidRPr="00CA74BB">
              <w:t xml:space="preserve"> </w:t>
            </w:r>
            <w:r>
              <w:t>del</w:t>
            </w:r>
            <w:r w:rsidRPr="00CA74BB">
              <w:t>la consapevolezza del valore della legalità fisca</w:t>
            </w:r>
            <w:r>
              <w:t xml:space="preserve">le, con particolare riferimento alla prevenzione </w:t>
            </w:r>
            <w:r w:rsidRPr="00CA74BB">
              <w:t>dell’evasione fiscale</w:t>
            </w:r>
          </w:p>
        </w:tc>
        <w:tc>
          <w:tcPr>
            <w:tcW w:w="2835" w:type="dxa"/>
          </w:tcPr>
          <w:p w14:paraId="4AC65B9A" w14:textId="68EA7F22" w:rsidR="00344506" w:rsidRPr="00807F67" w:rsidRDefault="007A2CF2" w:rsidP="00B27621">
            <w:pPr>
              <w:pStyle w:val="TableParagraph"/>
              <w:ind w:left="107" w:right="349"/>
            </w:pPr>
            <w:r w:rsidRPr="0045114D">
              <w:rPr>
                <w:sz w:val="24"/>
                <w:szCs w:val="24"/>
              </w:rPr>
              <w:t>Classi del secondo biennio</w:t>
            </w:r>
          </w:p>
        </w:tc>
      </w:tr>
      <w:tr w:rsidR="00344506" w:rsidRPr="00807F67" w14:paraId="61607448" w14:textId="77777777" w:rsidTr="00B27621">
        <w:trPr>
          <w:trHeight w:val="278"/>
        </w:trPr>
        <w:tc>
          <w:tcPr>
            <w:tcW w:w="3119" w:type="dxa"/>
          </w:tcPr>
          <w:p w14:paraId="582FFE3E" w14:textId="77777777" w:rsidR="00344506" w:rsidRPr="00465F7E" w:rsidRDefault="00344506" w:rsidP="00B27621">
            <w:pPr>
              <w:pStyle w:val="TableParagraph"/>
              <w:ind w:left="147" w:right="137"/>
              <w:rPr>
                <w:b/>
                <w:i/>
                <w:iCs/>
              </w:rPr>
            </w:pPr>
            <w:r w:rsidRPr="00465F7E">
              <w:rPr>
                <w:b/>
                <w:i/>
                <w:iCs/>
              </w:rPr>
              <w:t>Orientamento in uscita</w:t>
            </w:r>
          </w:p>
          <w:p w14:paraId="44397501" w14:textId="77777777" w:rsidR="00344506" w:rsidRPr="00465F7E" w:rsidRDefault="00344506" w:rsidP="00B27621">
            <w:pPr>
              <w:pStyle w:val="TableParagraph"/>
              <w:ind w:left="147" w:right="137"/>
              <w:rPr>
                <w:b/>
                <w:i/>
                <w:iCs/>
              </w:rPr>
            </w:pPr>
            <w:r w:rsidRPr="00465F7E">
              <w:rPr>
                <w:b/>
                <w:i/>
                <w:iCs/>
              </w:rPr>
              <w:t>(Si veda relativo paragrafo)</w:t>
            </w:r>
          </w:p>
        </w:tc>
        <w:tc>
          <w:tcPr>
            <w:tcW w:w="4153" w:type="dxa"/>
          </w:tcPr>
          <w:p w14:paraId="6B4A7117" w14:textId="77777777" w:rsidR="00344506" w:rsidRPr="00807F67" w:rsidRDefault="00344506" w:rsidP="00B27621">
            <w:pPr>
              <w:pStyle w:val="TableParagraph"/>
              <w:ind w:left="108" w:right="150"/>
            </w:pPr>
            <w:r w:rsidRPr="00807F67">
              <w:t>Attività di orientamento in uscita finalizzate alla conoscenza dell’offerta formativa universitaria e del mondo del lavoro e ad una maggiore consapevolezza degli scenari post scuola secondaria.</w:t>
            </w:r>
          </w:p>
        </w:tc>
        <w:tc>
          <w:tcPr>
            <w:tcW w:w="2835" w:type="dxa"/>
          </w:tcPr>
          <w:p w14:paraId="21E1755F" w14:textId="77777777" w:rsidR="00344506" w:rsidRPr="00807F67" w:rsidRDefault="00344506" w:rsidP="00B27621">
            <w:pPr>
              <w:pStyle w:val="TableParagraph"/>
              <w:ind w:left="107" w:right="349" w:hanging="70"/>
            </w:pPr>
            <w:r w:rsidRPr="00807F67">
              <w:t>Ultime e penultime classi</w:t>
            </w:r>
          </w:p>
        </w:tc>
      </w:tr>
      <w:tr w:rsidR="00344506" w:rsidRPr="00807F67" w14:paraId="674B5C7B" w14:textId="77777777" w:rsidTr="00B27621">
        <w:trPr>
          <w:trHeight w:val="1697"/>
        </w:trPr>
        <w:tc>
          <w:tcPr>
            <w:tcW w:w="3119" w:type="dxa"/>
          </w:tcPr>
          <w:p w14:paraId="4C59E5E4" w14:textId="77777777" w:rsidR="00344506" w:rsidRPr="00465F7E" w:rsidRDefault="00344506" w:rsidP="00B27621">
            <w:pPr>
              <w:pStyle w:val="TableParagraph"/>
              <w:ind w:left="147" w:right="137"/>
              <w:rPr>
                <w:b/>
                <w:i/>
                <w:iCs/>
              </w:rPr>
            </w:pPr>
            <w:r w:rsidRPr="00465F7E">
              <w:rPr>
                <w:b/>
                <w:i/>
                <w:iCs/>
              </w:rPr>
              <w:t>Orientamento in entrata</w:t>
            </w:r>
          </w:p>
        </w:tc>
        <w:tc>
          <w:tcPr>
            <w:tcW w:w="4153" w:type="dxa"/>
          </w:tcPr>
          <w:p w14:paraId="2FD53FB5" w14:textId="77777777" w:rsidR="00344506" w:rsidRPr="00807F67" w:rsidRDefault="00344506" w:rsidP="00B27621">
            <w:pPr>
              <w:pStyle w:val="TableParagraph"/>
              <w:ind w:left="108" w:right="139"/>
            </w:pPr>
            <w:r w:rsidRPr="00807F67">
              <w:t>Attività di orientamento in entrata finalizzata ad una scelta motivata e consapevole e che dia agli alunni garanzia di successo sia attraverso incontri con i docenti Funzioni strumentali per l’orientamento, sia attraverso mini-stage presso il liceo di Marsico Nuovo e di Viggiano.</w:t>
            </w:r>
          </w:p>
        </w:tc>
        <w:tc>
          <w:tcPr>
            <w:tcW w:w="2835" w:type="dxa"/>
          </w:tcPr>
          <w:p w14:paraId="22F9E177" w14:textId="77777777" w:rsidR="00344506" w:rsidRPr="00807F67" w:rsidRDefault="00344506" w:rsidP="00B27621">
            <w:pPr>
              <w:pStyle w:val="TableParagraph"/>
              <w:ind w:left="107" w:right="89" w:hanging="70"/>
            </w:pPr>
            <w:r w:rsidRPr="00807F67">
              <w:t>Alunni delle scuole di primo grado della Val d’Agri</w:t>
            </w:r>
          </w:p>
        </w:tc>
      </w:tr>
      <w:tr w:rsidR="00344506" w:rsidRPr="00807F67" w14:paraId="25F3CAA5" w14:textId="77777777" w:rsidTr="00B27621">
        <w:trPr>
          <w:trHeight w:val="1396"/>
        </w:trPr>
        <w:tc>
          <w:tcPr>
            <w:tcW w:w="3119" w:type="dxa"/>
          </w:tcPr>
          <w:p w14:paraId="5127DB1C" w14:textId="77777777" w:rsidR="00344506" w:rsidRPr="00465F7E" w:rsidRDefault="00344506" w:rsidP="00B27621">
            <w:pPr>
              <w:pStyle w:val="TableParagraph"/>
              <w:ind w:left="107"/>
              <w:rPr>
                <w:b/>
                <w:i/>
                <w:iCs/>
              </w:rPr>
            </w:pPr>
            <w:r w:rsidRPr="00465F7E">
              <w:rPr>
                <w:b/>
                <w:i/>
                <w:iCs/>
              </w:rPr>
              <w:t>Valorizzazione delle eccellenze</w:t>
            </w:r>
          </w:p>
        </w:tc>
        <w:tc>
          <w:tcPr>
            <w:tcW w:w="4153" w:type="dxa"/>
          </w:tcPr>
          <w:p w14:paraId="010DA7C1" w14:textId="77777777" w:rsidR="00344506" w:rsidRPr="00807F67" w:rsidRDefault="00344506" w:rsidP="00B27621">
            <w:pPr>
              <w:pStyle w:val="TableParagraph"/>
              <w:ind w:left="108" w:right="139"/>
            </w:pPr>
            <w:r w:rsidRPr="00807F67">
              <w:t>Il Liceo sostiene e favorisce la partecipazione degli alunni a diverse gare e concorsi per la valorizzazione delle eccellenze e alle altre iniziative promosse da Enti Locali, Ministero Istruzione, Università etc.</w:t>
            </w:r>
          </w:p>
        </w:tc>
        <w:tc>
          <w:tcPr>
            <w:tcW w:w="2835" w:type="dxa"/>
          </w:tcPr>
          <w:p w14:paraId="03E93DC8" w14:textId="77777777" w:rsidR="00344506" w:rsidRPr="00807F67" w:rsidRDefault="00344506" w:rsidP="00B27621">
            <w:pPr>
              <w:pStyle w:val="TableParagraph"/>
              <w:ind w:left="107" w:right="89" w:hanging="70"/>
            </w:pPr>
            <w:r w:rsidRPr="00807F67">
              <w:t>Tutte le classi</w:t>
            </w:r>
          </w:p>
        </w:tc>
      </w:tr>
      <w:tr w:rsidR="00344506" w:rsidRPr="00807F67" w14:paraId="39D0540E" w14:textId="77777777" w:rsidTr="00B27621">
        <w:trPr>
          <w:trHeight w:val="410"/>
        </w:trPr>
        <w:tc>
          <w:tcPr>
            <w:tcW w:w="3119" w:type="dxa"/>
          </w:tcPr>
          <w:p w14:paraId="14B1E8A1" w14:textId="4BF3123E" w:rsidR="00344506" w:rsidRPr="00465F7E" w:rsidRDefault="00344506" w:rsidP="00B27621">
            <w:pPr>
              <w:pStyle w:val="TableParagraph"/>
              <w:ind w:left="107"/>
              <w:rPr>
                <w:b/>
                <w:i/>
                <w:iCs/>
              </w:rPr>
            </w:pPr>
            <w:r w:rsidRPr="00465F7E">
              <w:rPr>
                <w:b/>
                <w:i/>
                <w:iCs/>
              </w:rPr>
              <w:t>Giornalino d’</w:t>
            </w:r>
            <w:r w:rsidR="00BA6CD0">
              <w:rPr>
                <w:b/>
                <w:i/>
                <w:iCs/>
              </w:rPr>
              <w:t>I</w:t>
            </w:r>
            <w:r w:rsidRPr="00465F7E">
              <w:rPr>
                <w:b/>
                <w:i/>
                <w:iCs/>
              </w:rPr>
              <w:t>stituto</w:t>
            </w:r>
          </w:p>
        </w:tc>
        <w:tc>
          <w:tcPr>
            <w:tcW w:w="4153" w:type="dxa"/>
          </w:tcPr>
          <w:p w14:paraId="08362406" w14:textId="77777777" w:rsidR="00344506" w:rsidRPr="00807F67" w:rsidRDefault="00344506" w:rsidP="00B27621">
            <w:pPr>
              <w:pStyle w:val="TableParagraph"/>
              <w:ind w:left="108" w:right="198"/>
            </w:pPr>
            <w:r w:rsidRPr="00807F67">
              <w:t>Il giornalino scolastico</w:t>
            </w:r>
            <w:r>
              <w:t xml:space="preserve"> </w:t>
            </w:r>
            <w:r w:rsidRPr="007E324E">
              <w:rPr>
                <w:b/>
                <w:bCs/>
                <w:i/>
                <w:iCs/>
              </w:rPr>
              <w:t>FuoriClasse</w:t>
            </w:r>
            <w:r w:rsidRPr="00807F67">
              <w:t xml:space="preserve"> è uno strumento per la comunicazione all’interno della scuola e nel sistema scuola</w:t>
            </w:r>
            <w:r>
              <w:t xml:space="preserve"> – </w:t>
            </w:r>
            <w:r w:rsidRPr="00807F67">
              <w:t>famiglia</w:t>
            </w:r>
            <w:r>
              <w:t xml:space="preserve"> </w:t>
            </w:r>
            <w:r w:rsidRPr="00807F67">
              <w:t>-territorio. La realizzazione del giornalino mira allo sviluppo di</w:t>
            </w:r>
            <w:r>
              <w:t xml:space="preserve"> competenze</w:t>
            </w:r>
            <w:r w:rsidRPr="00807F67">
              <w:t xml:space="preserve"> linguistiche, grafiche, logiche, digitali, sociali, relazionali, operative. Gli alunni dell’Istituto</w:t>
            </w:r>
            <w:r>
              <w:t xml:space="preserve"> </w:t>
            </w:r>
            <w:r w:rsidRPr="00807F67">
              <w:t>hanno modo di farsi conoscere e far conoscere in tutta Italia la propria esperienza scolastica, partecipando a premi e concorsi.</w:t>
            </w:r>
          </w:p>
        </w:tc>
        <w:tc>
          <w:tcPr>
            <w:tcW w:w="2835" w:type="dxa"/>
          </w:tcPr>
          <w:p w14:paraId="2010A681" w14:textId="77777777" w:rsidR="00344506" w:rsidRPr="00807F67" w:rsidRDefault="00344506" w:rsidP="00B27621">
            <w:pPr>
              <w:pStyle w:val="TableParagraph"/>
              <w:ind w:left="107" w:right="521" w:hanging="10"/>
            </w:pPr>
            <w:r w:rsidRPr="00807F67">
              <w:t>Tutte le classi</w:t>
            </w:r>
          </w:p>
        </w:tc>
      </w:tr>
      <w:tr w:rsidR="00344506" w:rsidRPr="00807F67" w14:paraId="193BD659" w14:textId="77777777" w:rsidTr="00B27621">
        <w:trPr>
          <w:trHeight w:val="408"/>
        </w:trPr>
        <w:tc>
          <w:tcPr>
            <w:tcW w:w="3119" w:type="dxa"/>
            <w:vMerge w:val="restart"/>
          </w:tcPr>
          <w:p w14:paraId="08356D3A" w14:textId="77777777" w:rsidR="00344506" w:rsidRPr="00465F7E" w:rsidRDefault="00344506" w:rsidP="00B27621">
            <w:pPr>
              <w:pStyle w:val="TableParagraph"/>
              <w:ind w:left="107" w:right="135"/>
              <w:rPr>
                <w:b/>
                <w:i/>
                <w:iCs/>
              </w:rPr>
            </w:pPr>
            <w:r w:rsidRPr="00465F7E">
              <w:rPr>
                <w:b/>
                <w:i/>
                <w:iCs/>
              </w:rPr>
              <w:lastRenderedPageBreak/>
              <w:t>PNSD</w:t>
            </w:r>
          </w:p>
          <w:p w14:paraId="04ABF47C" w14:textId="77777777" w:rsidR="00344506" w:rsidRPr="00465F7E" w:rsidRDefault="00344506" w:rsidP="00B27621">
            <w:pPr>
              <w:pStyle w:val="TableParagraph"/>
              <w:ind w:left="107" w:right="135"/>
              <w:rPr>
                <w:b/>
                <w:i/>
                <w:iCs/>
              </w:rPr>
            </w:pPr>
          </w:p>
          <w:p w14:paraId="53CEE52E" w14:textId="77777777" w:rsidR="00344506" w:rsidRPr="00465F7E" w:rsidRDefault="00344506" w:rsidP="00B27621">
            <w:pPr>
              <w:pStyle w:val="TableParagraph"/>
              <w:ind w:left="107" w:right="135"/>
              <w:rPr>
                <w:b/>
                <w:i/>
                <w:iCs/>
              </w:rPr>
            </w:pPr>
          </w:p>
        </w:tc>
        <w:tc>
          <w:tcPr>
            <w:tcW w:w="4153" w:type="dxa"/>
          </w:tcPr>
          <w:p w14:paraId="433AEF07" w14:textId="77777777" w:rsidR="00344506" w:rsidRPr="00807F67" w:rsidRDefault="00344506" w:rsidP="00B27621">
            <w:pPr>
              <w:pStyle w:val="TableParagraph"/>
              <w:ind w:left="108" w:right="143"/>
            </w:pPr>
            <w:r w:rsidRPr="00807F67">
              <w:t>Certificazione informatica</w:t>
            </w:r>
            <w:r>
              <w:t xml:space="preserve"> </w:t>
            </w:r>
            <w:r w:rsidRPr="007A6951">
              <w:rPr>
                <w:b/>
                <w:bCs/>
              </w:rPr>
              <w:t>Eipass</w:t>
            </w:r>
          </w:p>
        </w:tc>
        <w:tc>
          <w:tcPr>
            <w:tcW w:w="2835" w:type="dxa"/>
          </w:tcPr>
          <w:p w14:paraId="46F0A6CD" w14:textId="78ECF49F" w:rsidR="00344506" w:rsidRPr="00807F67" w:rsidRDefault="00344506" w:rsidP="00B27621">
            <w:pPr>
              <w:pStyle w:val="TableParagraph"/>
              <w:ind w:left="107" w:right="238" w:hanging="10"/>
            </w:pPr>
            <w:r>
              <w:t>Tutte le c</w:t>
            </w:r>
            <w:r w:rsidRPr="00807F67">
              <w:t xml:space="preserve">lassi </w:t>
            </w:r>
          </w:p>
        </w:tc>
      </w:tr>
      <w:tr w:rsidR="00344506" w:rsidRPr="00807F67" w14:paraId="11E6BC03" w14:textId="77777777" w:rsidTr="00B27621">
        <w:trPr>
          <w:trHeight w:val="1504"/>
        </w:trPr>
        <w:tc>
          <w:tcPr>
            <w:tcW w:w="3119" w:type="dxa"/>
            <w:vMerge/>
          </w:tcPr>
          <w:p w14:paraId="279ADFF0" w14:textId="77777777" w:rsidR="00344506" w:rsidRPr="00465F7E" w:rsidRDefault="00344506" w:rsidP="00B27621">
            <w:pPr>
              <w:pStyle w:val="TableParagraph"/>
              <w:ind w:left="107"/>
              <w:rPr>
                <w:b/>
                <w:i/>
                <w:iCs/>
              </w:rPr>
            </w:pPr>
          </w:p>
        </w:tc>
        <w:tc>
          <w:tcPr>
            <w:tcW w:w="4153" w:type="dxa"/>
          </w:tcPr>
          <w:p w14:paraId="7B8DB83A" w14:textId="77777777" w:rsidR="00344506" w:rsidRPr="00807F67" w:rsidRDefault="00344506" w:rsidP="00B27621">
            <w:pPr>
              <w:pStyle w:val="TableParagraph"/>
              <w:ind w:left="108" w:right="143"/>
            </w:pPr>
            <w:r w:rsidRPr="00807F67">
              <w:rPr>
                <w:b/>
              </w:rPr>
              <w:t>Programma il futuro – a scuola di coding</w:t>
            </w:r>
            <w:r w:rsidRPr="00807F67">
              <w:t xml:space="preserve"> Introduzione dei concetti di base dell’informatica attraverso la programmazione (coding), usando strumenti di facile utilizzo e che non richiedono un’abilità avanzata nell’uso del computer.</w:t>
            </w:r>
          </w:p>
        </w:tc>
        <w:tc>
          <w:tcPr>
            <w:tcW w:w="2835" w:type="dxa"/>
          </w:tcPr>
          <w:p w14:paraId="06E17233" w14:textId="77777777" w:rsidR="00344506" w:rsidRPr="00807F67" w:rsidRDefault="00344506" w:rsidP="00B27621">
            <w:pPr>
              <w:pStyle w:val="TableParagraph"/>
              <w:ind w:left="107" w:right="238" w:hanging="10"/>
            </w:pPr>
            <w:r w:rsidRPr="00807F67">
              <w:t xml:space="preserve">Classi del biennio </w:t>
            </w:r>
          </w:p>
        </w:tc>
      </w:tr>
      <w:tr w:rsidR="00344506" w:rsidRPr="00807F67" w14:paraId="5C23CAFE" w14:textId="77777777" w:rsidTr="00B27621">
        <w:trPr>
          <w:trHeight w:val="927"/>
        </w:trPr>
        <w:tc>
          <w:tcPr>
            <w:tcW w:w="3119" w:type="dxa"/>
          </w:tcPr>
          <w:p w14:paraId="5BC77C61" w14:textId="77777777" w:rsidR="00344506" w:rsidRPr="00465F7E" w:rsidRDefault="00344506" w:rsidP="00B27621">
            <w:pPr>
              <w:pStyle w:val="TableParagraph"/>
              <w:tabs>
                <w:tab w:val="left" w:pos="2415"/>
              </w:tabs>
              <w:ind w:left="107" w:right="137"/>
              <w:rPr>
                <w:b/>
                <w:i/>
                <w:iCs/>
              </w:rPr>
            </w:pPr>
            <w:r w:rsidRPr="00465F7E">
              <w:rPr>
                <w:b/>
                <w:i/>
                <w:iCs/>
              </w:rPr>
              <w:t>Incontri pomeridiani con esperti destinati ai genitori e agli alunni.</w:t>
            </w:r>
          </w:p>
        </w:tc>
        <w:tc>
          <w:tcPr>
            <w:tcW w:w="4153" w:type="dxa"/>
          </w:tcPr>
          <w:p w14:paraId="0EFB8569" w14:textId="77777777" w:rsidR="00344506" w:rsidRPr="00807F67" w:rsidRDefault="00344506" w:rsidP="00B27621">
            <w:pPr>
              <w:pStyle w:val="TableParagraph"/>
              <w:ind w:left="108" w:right="143"/>
            </w:pPr>
            <w:r w:rsidRPr="00807F67">
              <w:t>Il progetto si propone di aprire la scuola al territorio, promuovendo incontri con esperti su tematiche culturali e pedagogiche.</w:t>
            </w:r>
          </w:p>
        </w:tc>
        <w:tc>
          <w:tcPr>
            <w:tcW w:w="2835" w:type="dxa"/>
          </w:tcPr>
          <w:p w14:paraId="6239BD66" w14:textId="77777777" w:rsidR="00344506" w:rsidRPr="00807F67" w:rsidRDefault="00344506" w:rsidP="00B27621">
            <w:pPr>
              <w:pStyle w:val="TableParagraph"/>
              <w:ind w:left="107" w:right="559" w:hanging="10"/>
            </w:pPr>
            <w:r w:rsidRPr="00807F67">
              <w:t>Utenti esterni, genitori e alunni della scuola</w:t>
            </w:r>
          </w:p>
        </w:tc>
      </w:tr>
      <w:tr w:rsidR="00344506" w:rsidRPr="00807F67" w14:paraId="582CCF3A" w14:textId="77777777" w:rsidTr="00B27621">
        <w:trPr>
          <w:trHeight w:val="1379"/>
        </w:trPr>
        <w:tc>
          <w:tcPr>
            <w:tcW w:w="3119" w:type="dxa"/>
          </w:tcPr>
          <w:p w14:paraId="642F636A" w14:textId="77777777" w:rsidR="00344506" w:rsidRPr="00465F7E" w:rsidRDefault="00344506" w:rsidP="00B27621">
            <w:pPr>
              <w:pStyle w:val="TableParagraph"/>
              <w:ind w:left="107" w:right="360"/>
              <w:rPr>
                <w:b/>
                <w:i/>
                <w:iCs/>
              </w:rPr>
            </w:pPr>
            <w:r w:rsidRPr="00465F7E">
              <w:rPr>
                <w:b/>
                <w:i/>
                <w:iCs/>
              </w:rPr>
              <w:t>Borse di studio alunni del Liceo di Viggiano diplomati con 100/ 100 e lode</w:t>
            </w:r>
          </w:p>
        </w:tc>
        <w:tc>
          <w:tcPr>
            <w:tcW w:w="4153" w:type="dxa"/>
          </w:tcPr>
          <w:p w14:paraId="0905BDFE" w14:textId="77777777" w:rsidR="00344506" w:rsidRPr="00807F67" w:rsidRDefault="00344506" w:rsidP="00B27621">
            <w:pPr>
              <w:pStyle w:val="TableParagraph"/>
              <w:ind w:left="108" w:right="143"/>
            </w:pPr>
            <w:r w:rsidRPr="00807F67">
              <w:t>Il progetto, realizzato con i finanziamenti del Comune di Viggiano, intende valorizzare il merito degli studenti che si distinguono nell’Esame di Stato conseguendo risultati eccellenti.</w:t>
            </w:r>
          </w:p>
        </w:tc>
        <w:tc>
          <w:tcPr>
            <w:tcW w:w="2835" w:type="dxa"/>
          </w:tcPr>
          <w:p w14:paraId="3C565CA4" w14:textId="77777777" w:rsidR="00344506" w:rsidRPr="00807F67" w:rsidRDefault="00344506" w:rsidP="00B27621">
            <w:pPr>
              <w:pStyle w:val="TableParagraph"/>
              <w:ind w:left="107" w:right="215" w:hanging="10"/>
            </w:pPr>
            <w:r>
              <w:t xml:space="preserve">Tutte le classi </w:t>
            </w:r>
            <w:r w:rsidRPr="00807F67">
              <w:t>del liceo di Viggiano</w:t>
            </w:r>
          </w:p>
        </w:tc>
      </w:tr>
      <w:tr w:rsidR="00344506" w:rsidRPr="00807F67" w14:paraId="69F245C9" w14:textId="77777777" w:rsidTr="00B27621">
        <w:trPr>
          <w:trHeight w:val="274"/>
        </w:trPr>
        <w:tc>
          <w:tcPr>
            <w:tcW w:w="3119" w:type="dxa"/>
          </w:tcPr>
          <w:p w14:paraId="4A16C122" w14:textId="77777777" w:rsidR="00344506" w:rsidRPr="00465F7E" w:rsidRDefault="00344506" w:rsidP="00B27621">
            <w:pPr>
              <w:pStyle w:val="TableParagraph"/>
              <w:tabs>
                <w:tab w:val="left" w:pos="2273"/>
              </w:tabs>
              <w:ind w:left="167" w:right="279"/>
              <w:rPr>
                <w:b/>
                <w:i/>
                <w:iCs/>
              </w:rPr>
            </w:pPr>
            <w:r w:rsidRPr="00465F7E">
              <w:rPr>
                <w:b/>
                <w:i/>
                <w:iCs/>
              </w:rPr>
              <w:t>Notte Nazionale dei Licei Classici</w:t>
            </w:r>
          </w:p>
        </w:tc>
        <w:tc>
          <w:tcPr>
            <w:tcW w:w="4153" w:type="dxa"/>
          </w:tcPr>
          <w:p w14:paraId="65FBFFC1" w14:textId="2F1634FE" w:rsidR="00344506" w:rsidRDefault="00344506" w:rsidP="00B27621">
            <w:pPr>
              <w:pStyle w:val="TableParagraph"/>
              <w:ind w:left="108" w:right="130" w:firstLine="33"/>
            </w:pPr>
            <w:r w:rsidRPr="00807F67">
              <w:t xml:space="preserve">Adesione alla </w:t>
            </w:r>
            <w:r w:rsidR="00E21420">
              <w:t>X</w:t>
            </w:r>
            <w:r w:rsidRPr="00807F67">
              <w:t>I edizione dell’iniziativa promossa dal Liceo “Gulli e Pennisi” di Acireale per promuovere e valorizzare gli studi classici.</w:t>
            </w:r>
          </w:p>
          <w:p w14:paraId="0F8F771E" w14:textId="530C5840" w:rsidR="00344506" w:rsidRPr="00807F67" w:rsidRDefault="00725C3D" w:rsidP="00B27621">
            <w:pPr>
              <w:pStyle w:val="TableParagraph"/>
              <w:ind w:left="108" w:right="130" w:firstLine="33"/>
            </w:pPr>
            <w:r>
              <w:t>La sintesi dell’edizione precedente è fissata per il 29 novembre 2024 mentre i</w:t>
            </w:r>
            <w:r w:rsidR="00344506" w:rsidRPr="00807F67">
              <w:t xml:space="preserve">l giorno </w:t>
            </w:r>
            <w:r>
              <w:t>4</w:t>
            </w:r>
            <w:r w:rsidR="00344506" w:rsidRPr="00807F67">
              <w:t xml:space="preserve"> aprile </w:t>
            </w:r>
            <w:r>
              <w:t xml:space="preserve">2025, </w:t>
            </w:r>
            <w:r w:rsidR="00344506" w:rsidRPr="00807F67">
              <w:t xml:space="preserve">gli studenti del Liceo di Viggiano saranno impegnati in vari performance sul tema degli </w:t>
            </w:r>
            <w:r w:rsidR="00344506" w:rsidRPr="00807F67">
              <w:rPr>
                <w:i/>
              </w:rPr>
              <w:t>studia humanitatis</w:t>
            </w:r>
            <w:r w:rsidR="00344506" w:rsidRPr="00807F67">
              <w:t>. L’iniziativa vale anche come attività di orientamento in entrata rivolta agli studenti dell’ultimo anno del primo ciclo.</w:t>
            </w:r>
          </w:p>
        </w:tc>
        <w:tc>
          <w:tcPr>
            <w:tcW w:w="2835" w:type="dxa"/>
          </w:tcPr>
          <w:p w14:paraId="0DD971E0" w14:textId="77777777" w:rsidR="00344506" w:rsidRPr="00807F67" w:rsidRDefault="00344506" w:rsidP="00B27621">
            <w:pPr>
              <w:pStyle w:val="TableParagraph"/>
              <w:ind w:left="107" w:right="152" w:firstLine="60"/>
            </w:pPr>
            <w:r w:rsidRPr="00807F67">
              <w:t>Studenti del Liceo Classico, docenti, personale ATA, genitori, studenti del I ciclo</w:t>
            </w:r>
          </w:p>
        </w:tc>
      </w:tr>
      <w:tr w:rsidR="00344506" w:rsidRPr="002B5D7C" w14:paraId="2EAC23BB" w14:textId="77777777" w:rsidTr="00B27621">
        <w:trPr>
          <w:trHeight w:val="2760"/>
        </w:trPr>
        <w:tc>
          <w:tcPr>
            <w:tcW w:w="3119" w:type="dxa"/>
          </w:tcPr>
          <w:p w14:paraId="5BC73990" w14:textId="77777777" w:rsidR="00344506" w:rsidRDefault="00344506" w:rsidP="00B27621">
            <w:pPr>
              <w:pStyle w:val="TableParagraph"/>
              <w:ind w:left="167" w:right="142"/>
              <w:rPr>
                <w:b/>
                <w:i/>
                <w:iCs/>
              </w:rPr>
            </w:pPr>
            <w:r w:rsidRPr="00465F7E">
              <w:rPr>
                <w:b/>
                <w:i/>
                <w:iCs/>
              </w:rPr>
              <w:t>Premio Leopardi</w:t>
            </w:r>
          </w:p>
          <w:p w14:paraId="3D334DAB" w14:textId="61FCA763" w:rsidR="00FD71B5" w:rsidRPr="00465F7E" w:rsidRDefault="00FD71B5" w:rsidP="00B27621">
            <w:pPr>
              <w:pStyle w:val="TableParagraph"/>
              <w:ind w:left="167" w:right="142"/>
              <w:rPr>
                <w:b/>
                <w:i/>
                <w:iCs/>
              </w:rPr>
            </w:pPr>
          </w:p>
        </w:tc>
        <w:tc>
          <w:tcPr>
            <w:tcW w:w="4153" w:type="dxa"/>
          </w:tcPr>
          <w:p w14:paraId="743769AB" w14:textId="77777777" w:rsidR="00344506" w:rsidRPr="00B2106C" w:rsidRDefault="00344506" w:rsidP="00B27621">
            <w:pPr>
              <w:pStyle w:val="TableParagraph"/>
              <w:ind w:left="108" w:right="98"/>
            </w:pPr>
            <w:r w:rsidRPr="00B2106C">
              <w:t>Si tratta di un concorso finalizzato alla valorizzazione delle eccellenze. Il Premio “Giacomo Leopardi” si propone di incrementare la conoscenza della figura e dell’opera di Giacomo Leopardi nelle scuole e di sostenere la divulgazione degli aspetti poetici e filosofici della sua esperienza letteraria, in una prospettiva interdisciplinare e nel quadro delle iniziative promosse dal CNSL</w:t>
            </w:r>
          </w:p>
        </w:tc>
        <w:tc>
          <w:tcPr>
            <w:tcW w:w="2835" w:type="dxa"/>
          </w:tcPr>
          <w:p w14:paraId="0CDDA914" w14:textId="77777777" w:rsidR="00344506" w:rsidRPr="00B2106C" w:rsidRDefault="00344506" w:rsidP="00B27621">
            <w:pPr>
              <w:pStyle w:val="TableParagraph"/>
              <w:ind w:left="107" w:right="152"/>
            </w:pPr>
            <w:r>
              <w:t>Classi</w:t>
            </w:r>
            <w:r w:rsidRPr="00B2106C">
              <w:t xml:space="preserve"> quinte </w:t>
            </w:r>
          </w:p>
        </w:tc>
      </w:tr>
      <w:tr w:rsidR="00344506" w:rsidRPr="009E54FB" w14:paraId="43A7BDDB" w14:textId="77777777" w:rsidTr="00B27621">
        <w:trPr>
          <w:trHeight w:val="870"/>
        </w:trPr>
        <w:tc>
          <w:tcPr>
            <w:tcW w:w="3119" w:type="dxa"/>
          </w:tcPr>
          <w:p w14:paraId="1CE39101" w14:textId="77777777" w:rsidR="00344506" w:rsidRPr="00465F7E" w:rsidRDefault="00344506" w:rsidP="00B27621">
            <w:pPr>
              <w:pStyle w:val="TableParagraph"/>
              <w:ind w:left="167" w:right="142"/>
              <w:rPr>
                <w:b/>
                <w:i/>
                <w:iCs/>
              </w:rPr>
            </w:pPr>
            <w:r w:rsidRPr="00465F7E">
              <w:rPr>
                <w:b/>
                <w:i/>
                <w:iCs/>
              </w:rPr>
              <w:t>Campionati del patrimonio</w:t>
            </w:r>
          </w:p>
        </w:tc>
        <w:tc>
          <w:tcPr>
            <w:tcW w:w="4153" w:type="dxa"/>
          </w:tcPr>
          <w:p w14:paraId="613EA58F" w14:textId="77777777" w:rsidR="00344506" w:rsidRPr="009E54FB" w:rsidRDefault="00344506" w:rsidP="00B27621">
            <w:pPr>
              <w:pStyle w:val="TableParagraph"/>
              <w:ind w:left="108" w:right="98"/>
              <w:rPr>
                <w:bCs/>
              </w:rPr>
            </w:pPr>
            <w:r>
              <w:rPr>
                <w:bCs/>
              </w:rPr>
              <w:t>Concorso finalizzato all’</w:t>
            </w:r>
            <w:r w:rsidRPr="00FB6755">
              <w:rPr>
                <w:bCs/>
              </w:rPr>
              <w:t xml:space="preserve">arricchimento delle conoscenze storico-artistiche e </w:t>
            </w:r>
            <w:r>
              <w:rPr>
                <w:bCs/>
              </w:rPr>
              <w:t>al</w:t>
            </w:r>
            <w:r w:rsidRPr="00FB6755">
              <w:rPr>
                <w:bCs/>
              </w:rPr>
              <w:t xml:space="preserve"> confronto con realtà scolastiche di diverse regioni italiane.</w:t>
            </w:r>
          </w:p>
        </w:tc>
        <w:tc>
          <w:tcPr>
            <w:tcW w:w="2835" w:type="dxa"/>
          </w:tcPr>
          <w:p w14:paraId="3B6242C1" w14:textId="240356A1" w:rsidR="00344506" w:rsidRPr="009E54FB" w:rsidRDefault="00344506" w:rsidP="00B27621">
            <w:pPr>
              <w:pStyle w:val="TableParagraph"/>
              <w:ind w:left="107" w:right="152" w:firstLine="60"/>
              <w:rPr>
                <w:bCs/>
              </w:rPr>
            </w:pPr>
            <w:r>
              <w:t>Classi quarte</w:t>
            </w:r>
            <w:r w:rsidR="00B577DA">
              <w:t xml:space="preserve"> e quinte</w:t>
            </w:r>
          </w:p>
        </w:tc>
      </w:tr>
      <w:tr w:rsidR="00344506" w:rsidRPr="009E54FB" w14:paraId="796BA291" w14:textId="77777777" w:rsidTr="00B27621">
        <w:trPr>
          <w:trHeight w:val="870"/>
        </w:trPr>
        <w:tc>
          <w:tcPr>
            <w:tcW w:w="3119" w:type="dxa"/>
          </w:tcPr>
          <w:p w14:paraId="152B48F0" w14:textId="77777777" w:rsidR="00344506" w:rsidRPr="00465F7E" w:rsidRDefault="00344506" w:rsidP="00B27621">
            <w:pPr>
              <w:pStyle w:val="TableParagraph"/>
              <w:ind w:left="167" w:right="142"/>
              <w:rPr>
                <w:b/>
                <w:i/>
                <w:iCs/>
              </w:rPr>
            </w:pPr>
            <w:r w:rsidRPr="00465F7E">
              <w:rPr>
                <w:b/>
                <w:i/>
                <w:iCs/>
              </w:rPr>
              <w:t>Campionati di Italiano</w:t>
            </w:r>
          </w:p>
        </w:tc>
        <w:tc>
          <w:tcPr>
            <w:tcW w:w="4153" w:type="dxa"/>
          </w:tcPr>
          <w:p w14:paraId="3899D284" w14:textId="77777777" w:rsidR="00344506" w:rsidRDefault="00344506" w:rsidP="00B27621">
            <w:pPr>
              <w:pStyle w:val="TableParagraph"/>
              <w:ind w:left="108" w:right="98"/>
              <w:rPr>
                <w:bCs/>
              </w:rPr>
            </w:pPr>
            <w:r>
              <w:t>I Campionati sono gare individuali rivolte alle studentesse e agli studenti degli istituti della Scuola secondaria di secondo grado, finalizzati a promuovere e valorizzare il merito, tra gli studenti, nell’ambito delle competenze linguistiche in Italiano.</w:t>
            </w:r>
          </w:p>
        </w:tc>
        <w:tc>
          <w:tcPr>
            <w:tcW w:w="2835" w:type="dxa"/>
          </w:tcPr>
          <w:p w14:paraId="002DD5B1" w14:textId="77777777" w:rsidR="00344506" w:rsidRDefault="00344506" w:rsidP="00B27621">
            <w:pPr>
              <w:pStyle w:val="TableParagraph"/>
              <w:ind w:left="107" w:right="152"/>
            </w:pPr>
            <w:r>
              <w:t xml:space="preserve">Tutte le Classi </w:t>
            </w:r>
          </w:p>
        </w:tc>
      </w:tr>
      <w:tr w:rsidR="00344506" w:rsidRPr="009E54FB" w14:paraId="56FAA58B" w14:textId="77777777" w:rsidTr="00B27621">
        <w:trPr>
          <w:trHeight w:val="870"/>
        </w:trPr>
        <w:tc>
          <w:tcPr>
            <w:tcW w:w="3119" w:type="dxa"/>
          </w:tcPr>
          <w:p w14:paraId="2B90E94B" w14:textId="77777777" w:rsidR="000D5519" w:rsidRDefault="00344506" w:rsidP="00B27621">
            <w:pPr>
              <w:pStyle w:val="TableParagraph"/>
              <w:ind w:left="167" w:right="142"/>
              <w:rPr>
                <w:b/>
                <w:i/>
                <w:iCs/>
              </w:rPr>
            </w:pPr>
            <w:r w:rsidRPr="00465F7E">
              <w:rPr>
                <w:b/>
                <w:i/>
                <w:iCs/>
              </w:rPr>
              <w:t xml:space="preserve">Campionato Nazionale delle Lingue </w:t>
            </w:r>
            <w:r w:rsidR="000D5519" w:rsidRPr="00FD71B5">
              <w:rPr>
                <w:b/>
                <w:i/>
                <w:iCs/>
              </w:rPr>
              <w:t xml:space="preserve"> </w:t>
            </w:r>
          </w:p>
          <w:p w14:paraId="56C82C0B" w14:textId="77777777" w:rsidR="00344506" w:rsidRDefault="000D5519" w:rsidP="00B27621">
            <w:pPr>
              <w:pStyle w:val="TableParagraph"/>
              <w:ind w:left="167" w:right="142"/>
              <w:rPr>
                <w:b/>
                <w:i/>
                <w:iCs/>
              </w:rPr>
            </w:pPr>
            <w:r w:rsidRPr="00FD71B5">
              <w:rPr>
                <w:b/>
                <w:i/>
                <w:iCs/>
              </w:rPr>
              <w:t>Juvenes Translatores</w:t>
            </w:r>
          </w:p>
          <w:p w14:paraId="31488885" w14:textId="67AB7A9D" w:rsidR="001352DB" w:rsidRPr="00465F7E" w:rsidRDefault="001352DB" w:rsidP="00B27621">
            <w:pPr>
              <w:pStyle w:val="TableParagraph"/>
              <w:ind w:left="167" w:right="142"/>
              <w:rPr>
                <w:b/>
                <w:i/>
                <w:iCs/>
              </w:rPr>
            </w:pPr>
            <w:r>
              <w:rPr>
                <w:b/>
                <w:i/>
                <w:iCs/>
              </w:rPr>
              <w:t xml:space="preserve">Concorso di lingue Columbus </w:t>
            </w:r>
            <w:r>
              <w:rPr>
                <w:b/>
                <w:i/>
                <w:iCs/>
              </w:rPr>
              <w:lastRenderedPageBreak/>
              <w:t>Academy</w:t>
            </w:r>
          </w:p>
        </w:tc>
        <w:tc>
          <w:tcPr>
            <w:tcW w:w="4153" w:type="dxa"/>
          </w:tcPr>
          <w:p w14:paraId="46AA1123" w14:textId="77777777" w:rsidR="00344506" w:rsidRPr="00F8664C" w:rsidRDefault="00344506" w:rsidP="00B27621">
            <w:pPr>
              <w:pStyle w:val="TableParagraph"/>
              <w:ind w:left="108" w:right="98"/>
              <w:rPr>
                <w:bCs/>
              </w:rPr>
            </w:pPr>
            <w:r w:rsidRPr="00F8664C">
              <w:rPr>
                <w:rFonts w:ascii="Rokkitt" w:hAnsi="Rokkitt"/>
                <w:shd w:val="clear" w:color="auto" w:fill="FFFFFF"/>
              </w:rPr>
              <w:lastRenderedPageBreak/>
              <w:t>Il </w:t>
            </w:r>
            <w:r w:rsidRPr="00F8664C">
              <w:rPr>
                <w:rStyle w:val="fw-bold"/>
                <w:rFonts w:ascii="Rokkitt" w:hAnsi="Rokkitt"/>
                <w:shd w:val="clear" w:color="auto" w:fill="FFFFFF"/>
              </w:rPr>
              <w:t>Campionato Nazionale delle Lingue</w:t>
            </w:r>
            <w:r w:rsidRPr="00F8664C">
              <w:rPr>
                <w:rFonts w:ascii="Rokkitt" w:hAnsi="Rokkitt"/>
                <w:shd w:val="clear" w:color="auto" w:fill="FFFFFF"/>
              </w:rPr>
              <w:t xml:space="preserve"> è una competizione formativa rivolta alle studentesse e agli studenti iscritti all’ultimo anno delle Scuole secondarie di secondo </w:t>
            </w:r>
            <w:r w:rsidRPr="00F8664C">
              <w:rPr>
                <w:rFonts w:ascii="Rokkitt" w:hAnsi="Rokkitt"/>
                <w:shd w:val="clear" w:color="auto" w:fill="FFFFFF"/>
              </w:rPr>
              <w:lastRenderedPageBreak/>
              <w:t>grado</w:t>
            </w:r>
            <w:r>
              <w:rPr>
                <w:rFonts w:ascii="Rokkitt" w:hAnsi="Rokkitt"/>
                <w:shd w:val="clear" w:color="auto" w:fill="FFFFFF"/>
              </w:rPr>
              <w:t>, finalizzata</w:t>
            </w:r>
            <w:r w:rsidRPr="00F8664C">
              <w:rPr>
                <w:rFonts w:ascii="Rokkitt" w:hAnsi="Rokkitt"/>
                <w:shd w:val="clear" w:color="auto" w:fill="FFFFFF"/>
              </w:rPr>
              <w:t xml:space="preserve"> </w:t>
            </w:r>
            <w:r>
              <w:rPr>
                <w:rFonts w:ascii="Rokkitt" w:hAnsi="Rokkitt"/>
                <w:shd w:val="clear" w:color="auto" w:fill="FFFFFF"/>
              </w:rPr>
              <w:t>al</w:t>
            </w:r>
            <w:r w:rsidRPr="00F8664C">
              <w:rPr>
                <w:rFonts w:ascii="Rokkitt" w:hAnsi="Rokkitt"/>
                <w:shd w:val="clear" w:color="auto" w:fill="FFFFFF"/>
              </w:rPr>
              <w:t xml:space="preserve">la promozione e </w:t>
            </w:r>
            <w:r>
              <w:rPr>
                <w:rFonts w:ascii="Rokkitt" w:hAnsi="Rokkitt"/>
                <w:shd w:val="clear" w:color="auto" w:fill="FFFFFF"/>
              </w:rPr>
              <w:t>al</w:t>
            </w:r>
            <w:r w:rsidRPr="00F8664C">
              <w:rPr>
                <w:rFonts w:ascii="Rokkitt" w:hAnsi="Rokkitt"/>
                <w:shd w:val="clear" w:color="auto" w:fill="FFFFFF"/>
              </w:rPr>
              <w:t>la valorizzazione dell’apprendimento e dell’insegnamento delle lingue e culture straniere</w:t>
            </w:r>
            <w:r>
              <w:rPr>
                <w:rFonts w:ascii="Rokkitt" w:hAnsi="Rokkitt"/>
                <w:shd w:val="clear" w:color="auto" w:fill="FFFFFF"/>
              </w:rPr>
              <w:t>.</w:t>
            </w:r>
          </w:p>
        </w:tc>
        <w:tc>
          <w:tcPr>
            <w:tcW w:w="2835" w:type="dxa"/>
          </w:tcPr>
          <w:p w14:paraId="056035BF" w14:textId="77777777" w:rsidR="00344506" w:rsidRDefault="00344506" w:rsidP="00B27621">
            <w:pPr>
              <w:pStyle w:val="TableParagraph"/>
              <w:ind w:left="107" w:right="152" w:firstLine="60"/>
            </w:pPr>
            <w:r>
              <w:lastRenderedPageBreak/>
              <w:t>Classi quinte</w:t>
            </w:r>
          </w:p>
        </w:tc>
      </w:tr>
      <w:tr w:rsidR="0027499E" w:rsidRPr="009E54FB" w14:paraId="310E0332" w14:textId="77777777" w:rsidTr="00B27621">
        <w:trPr>
          <w:trHeight w:val="870"/>
        </w:trPr>
        <w:tc>
          <w:tcPr>
            <w:tcW w:w="3119" w:type="dxa"/>
          </w:tcPr>
          <w:p w14:paraId="145379C6" w14:textId="47F15F6F" w:rsidR="0027499E" w:rsidRPr="00465F7E" w:rsidRDefault="00F51A7A" w:rsidP="00B27621">
            <w:pPr>
              <w:pStyle w:val="TableParagraph"/>
              <w:ind w:left="167" w:right="142"/>
              <w:rPr>
                <w:b/>
                <w:i/>
                <w:iCs/>
              </w:rPr>
            </w:pPr>
            <w:r>
              <w:rPr>
                <w:b/>
                <w:i/>
                <w:iCs/>
              </w:rPr>
              <w:t xml:space="preserve">Progetto </w:t>
            </w:r>
            <w:r w:rsidR="008F5A93">
              <w:rPr>
                <w:b/>
                <w:i/>
                <w:iCs/>
              </w:rPr>
              <w:t>“Change the World”</w:t>
            </w:r>
          </w:p>
        </w:tc>
        <w:tc>
          <w:tcPr>
            <w:tcW w:w="4153" w:type="dxa"/>
          </w:tcPr>
          <w:p w14:paraId="61736723" w14:textId="77777777" w:rsidR="0027499E" w:rsidRPr="00F8664C" w:rsidRDefault="0027499E" w:rsidP="00B27621">
            <w:pPr>
              <w:pStyle w:val="TableParagraph"/>
              <w:ind w:left="108" w:right="98"/>
              <w:rPr>
                <w:rFonts w:ascii="Rokkitt" w:hAnsi="Rokkitt"/>
                <w:shd w:val="clear" w:color="auto" w:fill="FFFFFF"/>
              </w:rPr>
            </w:pPr>
          </w:p>
        </w:tc>
        <w:tc>
          <w:tcPr>
            <w:tcW w:w="2835" w:type="dxa"/>
          </w:tcPr>
          <w:p w14:paraId="23488B20" w14:textId="1E8C57DA" w:rsidR="0027499E" w:rsidRDefault="00754CF9" w:rsidP="00B27621">
            <w:pPr>
              <w:pStyle w:val="TableParagraph"/>
              <w:ind w:left="107" w:right="152" w:firstLine="60"/>
            </w:pPr>
            <w:r>
              <w:t>Student* triennio</w:t>
            </w:r>
          </w:p>
        </w:tc>
      </w:tr>
      <w:tr w:rsidR="009056A1" w:rsidRPr="009E54FB" w14:paraId="0B47AC8F" w14:textId="77777777" w:rsidTr="00B27621">
        <w:trPr>
          <w:trHeight w:val="870"/>
        </w:trPr>
        <w:tc>
          <w:tcPr>
            <w:tcW w:w="3119" w:type="dxa"/>
          </w:tcPr>
          <w:p w14:paraId="7379A910" w14:textId="7D8CAF79" w:rsidR="009056A1" w:rsidRPr="00465F7E" w:rsidRDefault="009056A1" w:rsidP="00B27621">
            <w:pPr>
              <w:pStyle w:val="TableParagraph"/>
              <w:ind w:left="167" w:right="142"/>
              <w:rPr>
                <w:b/>
                <w:i/>
                <w:iCs/>
              </w:rPr>
            </w:pPr>
            <w:r w:rsidRPr="00FD71B5">
              <w:rPr>
                <w:b/>
                <w:i/>
                <w:iCs/>
              </w:rPr>
              <w:t>Certificazione linguistica latina</w:t>
            </w:r>
          </w:p>
        </w:tc>
        <w:tc>
          <w:tcPr>
            <w:tcW w:w="4153" w:type="dxa"/>
          </w:tcPr>
          <w:p w14:paraId="1D57D0A3" w14:textId="7B215C8D" w:rsidR="009056A1" w:rsidRPr="00F8664C" w:rsidRDefault="009056A1" w:rsidP="00B27621">
            <w:pPr>
              <w:pStyle w:val="TableParagraph"/>
              <w:ind w:left="108" w:right="98"/>
              <w:rPr>
                <w:rFonts w:ascii="Rokkitt" w:hAnsi="Rokkitt"/>
                <w:shd w:val="clear" w:color="auto" w:fill="FFFFFF"/>
              </w:rPr>
            </w:pPr>
            <w:r w:rsidRPr="00750759">
              <w:rPr>
                <w:rFonts w:ascii="Rokkitt" w:hAnsi="Rokkitt"/>
                <w:shd w:val="clear" w:color="auto" w:fill="FFFFFF"/>
              </w:rPr>
              <w:t>Competizione formativa rivolta alle studentesse e agli studenti iscritti delle Scuole secondarie di secondo grado</w:t>
            </w:r>
            <w:r>
              <w:rPr>
                <w:rFonts w:ascii="Rokkitt" w:hAnsi="Rokkitt"/>
                <w:shd w:val="clear" w:color="auto" w:fill="FFFFFF"/>
              </w:rPr>
              <w:t>.</w:t>
            </w:r>
          </w:p>
        </w:tc>
        <w:tc>
          <w:tcPr>
            <w:tcW w:w="2835" w:type="dxa"/>
          </w:tcPr>
          <w:p w14:paraId="4CEBC093" w14:textId="6E27C76B" w:rsidR="009056A1" w:rsidRDefault="009056A1" w:rsidP="00B27621">
            <w:pPr>
              <w:pStyle w:val="TableParagraph"/>
              <w:ind w:left="107" w:right="152" w:firstLine="60"/>
            </w:pPr>
            <w:r>
              <w:t>Tutte le classi</w:t>
            </w:r>
          </w:p>
        </w:tc>
      </w:tr>
      <w:tr w:rsidR="009056A1" w:rsidRPr="009E54FB" w14:paraId="34D188E2" w14:textId="77777777" w:rsidTr="00B27621">
        <w:trPr>
          <w:trHeight w:val="870"/>
        </w:trPr>
        <w:tc>
          <w:tcPr>
            <w:tcW w:w="3119" w:type="dxa"/>
          </w:tcPr>
          <w:p w14:paraId="274DED09" w14:textId="657D07E3" w:rsidR="009056A1" w:rsidRPr="00465F7E" w:rsidRDefault="009056A1" w:rsidP="00B27621">
            <w:pPr>
              <w:pStyle w:val="TableParagraph"/>
              <w:ind w:left="167" w:right="142"/>
              <w:rPr>
                <w:b/>
                <w:i/>
                <w:iCs/>
              </w:rPr>
            </w:pPr>
            <w:r w:rsidRPr="00FD71B5">
              <w:rPr>
                <w:b/>
                <w:i/>
                <w:iCs/>
              </w:rPr>
              <w:t>Campionati della Filosofia</w:t>
            </w:r>
          </w:p>
        </w:tc>
        <w:tc>
          <w:tcPr>
            <w:tcW w:w="4153" w:type="dxa"/>
          </w:tcPr>
          <w:p w14:paraId="738B3A46" w14:textId="23908A96" w:rsidR="009056A1" w:rsidRPr="00F8664C" w:rsidRDefault="009056A1" w:rsidP="00B27621">
            <w:pPr>
              <w:pStyle w:val="TableParagraph"/>
              <w:ind w:left="108" w:right="98"/>
              <w:rPr>
                <w:rFonts w:ascii="Rokkitt" w:hAnsi="Rokkitt"/>
                <w:shd w:val="clear" w:color="auto" w:fill="FFFFFF"/>
              </w:rPr>
            </w:pPr>
            <w:r w:rsidRPr="00750759">
              <w:rPr>
                <w:rFonts w:ascii="Rokkitt" w:hAnsi="Rokkitt"/>
                <w:shd w:val="clear" w:color="auto" w:fill="FFFFFF"/>
              </w:rPr>
              <w:t>Competizione formativa rivolta alle studentesse e agli studenti iscritti delle Scuole secondarie di secondo grado</w:t>
            </w:r>
            <w:r>
              <w:rPr>
                <w:rFonts w:ascii="Rokkitt" w:hAnsi="Rokkitt"/>
                <w:shd w:val="clear" w:color="auto" w:fill="FFFFFF"/>
              </w:rPr>
              <w:t>.</w:t>
            </w:r>
          </w:p>
        </w:tc>
        <w:tc>
          <w:tcPr>
            <w:tcW w:w="2835" w:type="dxa"/>
          </w:tcPr>
          <w:p w14:paraId="3F477EA0" w14:textId="2EA6897C" w:rsidR="009056A1" w:rsidRDefault="009056A1" w:rsidP="00B27621">
            <w:pPr>
              <w:pStyle w:val="TableParagraph"/>
              <w:ind w:left="107" w:right="152" w:firstLine="60"/>
            </w:pPr>
            <w:r>
              <w:t>Tutte le classi del triennio</w:t>
            </w:r>
          </w:p>
        </w:tc>
      </w:tr>
      <w:tr w:rsidR="00344506" w:rsidRPr="009E54FB" w14:paraId="4368D286" w14:textId="77777777" w:rsidTr="00B27621">
        <w:trPr>
          <w:trHeight w:val="870"/>
        </w:trPr>
        <w:tc>
          <w:tcPr>
            <w:tcW w:w="3119" w:type="dxa"/>
          </w:tcPr>
          <w:p w14:paraId="68ADB86F" w14:textId="77777777" w:rsidR="00344506" w:rsidRPr="00465F7E" w:rsidRDefault="00344506" w:rsidP="00B27621">
            <w:pPr>
              <w:pStyle w:val="TableParagraph"/>
              <w:ind w:left="167" w:right="142"/>
              <w:rPr>
                <w:b/>
                <w:i/>
                <w:iCs/>
              </w:rPr>
            </w:pPr>
            <w:r w:rsidRPr="00465F7E">
              <w:rPr>
                <w:b/>
                <w:i/>
                <w:iCs/>
              </w:rPr>
              <w:t>Campionati di Scienze</w:t>
            </w:r>
          </w:p>
          <w:p w14:paraId="6B896C96" w14:textId="77777777" w:rsidR="00344506" w:rsidRPr="00465F7E" w:rsidRDefault="00344506" w:rsidP="00B27621">
            <w:pPr>
              <w:pStyle w:val="TableParagraph"/>
              <w:ind w:left="167" w:right="142"/>
              <w:rPr>
                <w:b/>
                <w:i/>
                <w:iCs/>
              </w:rPr>
            </w:pPr>
            <w:r w:rsidRPr="00465F7E">
              <w:rPr>
                <w:b/>
                <w:i/>
                <w:iCs/>
              </w:rPr>
              <w:t>Giochi della chimica</w:t>
            </w:r>
          </w:p>
        </w:tc>
        <w:tc>
          <w:tcPr>
            <w:tcW w:w="4153" w:type="dxa"/>
          </w:tcPr>
          <w:p w14:paraId="1217B6C6" w14:textId="77777777" w:rsidR="00344506" w:rsidRPr="00F8664C" w:rsidRDefault="00344506" w:rsidP="00B27621">
            <w:pPr>
              <w:pStyle w:val="TableParagraph"/>
              <w:ind w:left="108" w:right="98"/>
              <w:rPr>
                <w:bCs/>
              </w:rPr>
            </w:pPr>
            <w:r>
              <w:rPr>
                <w:rFonts w:ascii="Rokkitt" w:hAnsi="Rokkitt"/>
                <w:shd w:val="clear" w:color="auto" w:fill="FFFFFF"/>
              </w:rPr>
              <w:t>C</w:t>
            </w:r>
            <w:r w:rsidRPr="00F8664C">
              <w:rPr>
                <w:rFonts w:ascii="Rokkitt" w:hAnsi="Rokkitt"/>
                <w:shd w:val="clear" w:color="auto" w:fill="FFFFFF"/>
              </w:rPr>
              <w:t>ompetizione formativa rivolta alle studentesse e agli st</w:t>
            </w:r>
            <w:r>
              <w:rPr>
                <w:rFonts w:ascii="Rokkitt" w:hAnsi="Rokkitt"/>
                <w:shd w:val="clear" w:color="auto" w:fill="FFFFFF"/>
              </w:rPr>
              <w:t xml:space="preserve">udenti iscritti </w:t>
            </w:r>
            <w:r w:rsidRPr="00F8664C">
              <w:rPr>
                <w:rFonts w:ascii="Rokkitt" w:hAnsi="Rokkitt"/>
                <w:shd w:val="clear" w:color="auto" w:fill="FFFFFF"/>
              </w:rPr>
              <w:t>delle Scuole secondarie di secondo grado</w:t>
            </w:r>
            <w:r>
              <w:rPr>
                <w:rFonts w:ascii="Rokkitt" w:hAnsi="Rokkitt"/>
                <w:shd w:val="clear" w:color="auto" w:fill="FFFFFF"/>
              </w:rPr>
              <w:t>, finalizzata</w:t>
            </w:r>
            <w:r w:rsidRPr="00F8664C">
              <w:rPr>
                <w:rFonts w:ascii="Rokkitt" w:hAnsi="Rokkitt"/>
                <w:shd w:val="clear" w:color="auto" w:fill="FFFFFF"/>
              </w:rPr>
              <w:t xml:space="preserve"> </w:t>
            </w:r>
            <w:r>
              <w:rPr>
                <w:rFonts w:ascii="Rokkitt" w:hAnsi="Rokkitt"/>
                <w:shd w:val="clear" w:color="auto" w:fill="FFFFFF"/>
              </w:rPr>
              <w:t>al</w:t>
            </w:r>
            <w:r w:rsidRPr="00F8664C">
              <w:rPr>
                <w:rFonts w:ascii="Rokkitt" w:hAnsi="Rokkitt"/>
                <w:shd w:val="clear" w:color="auto" w:fill="FFFFFF"/>
              </w:rPr>
              <w:t xml:space="preserve">la promozione e </w:t>
            </w:r>
            <w:r>
              <w:rPr>
                <w:rFonts w:ascii="Rokkitt" w:hAnsi="Rokkitt"/>
                <w:shd w:val="clear" w:color="auto" w:fill="FFFFFF"/>
              </w:rPr>
              <w:t>al</w:t>
            </w:r>
            <w:r w:rsidRPr="00F8664C">
              <w:rPr>
                <w:rFonts w:ascii="Rokkitt" w:hAnsi="Rokkitt"/>
                <w:shd w:val="clear" w:color="auto" w:fill="FFFFFF"/>
              </w:rPr>
              <w:t xml:space="preserve">la valorizzazione dell’apprendimento </w:t>
            </w:r>
            <w:r>
              <w:rPr>
                <w:rFonts w:ascii="Rokkitt" w:hAnsi="Rokkitt"/>
                <w:shd w:val="clear" w:color="auto" w:fill="FFFFFF"/>
              </w:rPr>
              <w:t>delle Scienze.</w:t>
            </w:r>
          </w:p>
        </w:tc>
        <w:tc>
          <w:tcPr>
            <w:tcW w:w="2835" w:type="dxa"/>
          </w:tcPr>
          <w:p w14:paraId="32CB7C35" w14:textId="77777777" w:rsidR="00344506" w:rsidRDefault="00344506" w:rsidP="00B27621">
            <w:pPr>
              <w:pStyle w:val="TableParagraph"/>
              <w:ind w:left="107" w:right="152" w:firstLine="60"/>
            </w:pPr>
            <w:r>
              <w:t>Tutte le classi</w:t>
            </w:r>
          </w:p>
        </w:tc>
      </w:tr>
      <w:tr w:rsidR="00344506" w:rsidRPr="009E54FB" w14:paraId="72233FC8" w14:textId="77777777" w:rsidTr="00B27621">
        <w:trPr>
          <w:trHeight w:val="870"/>
        </w:trPr>
        <w:tc>
          <w:tcPr>
            <w:tcW w:w="3119" w:type="dxa"/>
          </w:tcPr>
          <w:p w14:paraId="27612D48" w14:textId="77777777" w:rsidR="00344506" w:rsidRPr="00465F7E" w:rsidRDefault="00344506" w:rsidP="00B27621">
            <w:pPr>
              <w:pStyle w:val="TableParagraph"/>
              <w:ind w:left="167" w:right="142"/>
              <w:rPr>
                <w:b/>
                <w:i/>
                <w:iCs/>
              </w:rPr>
            </w:pPr>
            <w:r w:rsidRPr="00465F7E">
              <w:rPr>
                <w:b/>
                <w:i/>
                <w:iCs/>
              </w:rPr>
              <w:t>Olimpiadi della Matematica</w:t>
            </w:r>
          </w:p>
        </w:tc>
        <w:tc>
          <w:tcPr>
            <w:tcW w:w="4153" w:type="dxa"/>
          </w:tcPr>
          <w:p w14:paraId="5612EB63" w14:textId="77777777" w:rsidR="00344506" w:rsidRDefault="00344506" w:rsidP="00B27621">
            <w:pPr>
              <w:pStyle w:val="TableParagraph"/>
              <w:ind w:left="108" w:right="98"/>
              <w:rPr>
                <w:bCs/>
              </w:rPr>
            </w:pPr>
            <w:r>
              <w:rPr>
                <w:bCs/>
              </w:rPr>
              <w:t>L</w:t>
            </w:r>
            <w:r w:rsidRPr="00F8664C">
              <w:rPr>
                <w:bCs/>
              </w:rPr>
              <w:t>e Olimpiadi de</w:t>
            </w:r>
            <w:r>
              <w:rPr>
                <w:bCs/>
              </w:rPr>
              <w:t xml:space="preserve">lla Matematica sono gare </w:t>
            </w:r>
            <w:r w:rsidRPr="00656C6A">
              <w:rPr>
                <w:bCs/>
              </w:rPr>
              <w:t>di soluzione di problemi matematici elementari rivolte ai ragazzi delle scuole secondarie di secondo grado</w:t>
            </w:r>
            <w:r>
              <w:rPr>
                <w:bCs/>
              </w:rPr>
              <w:t>.</w:t>
            </w:r>
            <w:r w:rsidRPr="00656C6A">
              <w:rPr>
                <w:bCs/>
              </w:rPr>
              <w:t xml:space="preserve"> </w:t>
            </w:r>
          </w:p>
        </w:tc>
        <w:tc>
          <w:tcPr>
            <w:tcW w:w="2835" w:type="dxa"/>
          </w:tcPr>
          <w:p w14:paraId="2EDD12B4" w14:textId="77777777" w:rsidR="00344506" w:rsidRDefault="00344506" w:rsidP="00B27621">
            <w:pPr>
              <w:pStyle w:val="TableParagraph"/>
              <w:ind w:left="107" w:right="152" w:firstLine="60"/>
            </w:pPr>
            <w:r>
              <w:t>Tutte le classi</w:t>
            </w:r>
          </w:p>
        </w:tc>
      </w:tr>
      <w:tr w:rsidR="000D5519" w:rsidRPr="009E54FB" w14:paraId="12946806" w14:textId="77777777" w:rsidTr="00B27621">
        <w:trPr>
          <w:trHeight w:val="870"/>
        </w:trPr>
        <w:tc>
          <w:tcPr>
            <w:tcW w:w="3119" w:type="dxa"/>
          </w:tcPr>
          <w:p w14:paraId="487C4CF4" w14:textId="62675FB5" w:rsidR="000D5519" w:rsidRPr="00465F7E" w:rsidRDefault="000D5519" w:rsidP="00B27621">
            <w:pPr>
              <w:pStyle w:val="TableParagraph"/>
              <w:ind w:left="167" w:right="142"/>
              <w:rPr>
                <w:b/>
                <w:i/>
                <w:iCs/>
              </w:rPr>
            </w:pPr>
            <w:r w:rsidRPr="00FD71B5">
              <w:rPr>
                <w:b/>
                <w:i/>
                <w:iCs/>
              </w:rPr>
              <w:t>Campionati della Fisica</w:t>
            </w:r>
          </w:p>
        </w:tc>
        <w:tc>
          <w:tcPr>
            <w:tcW w:w="4153" w:type="dxa"/>
          </w:tcPr>
          <w:p w14:paraId="63A0F911" w14:textId="48BB42BB" w:rsidR="000D5519" w:rsidRDefault="009056A1" w:rsidP="00B27621">
            <w:pPr>
              <w:pStyle w:val="TableParagraph"/>
              <w:ind w:left="108" w:right="98"/>
              <w:rPr>
                <w:bCs/>
              </w:rPr>
            </w:pPr>
            <w:r>
              <w:rPr>
                <w:rFonts w:ascii="Rokkitt" w:hAnsi="Rokkitt"/>
                <w:shd w:val="clear" w:color="auto" w:fill="FFFFFF"/>
              </w:rPr>
              <w:t>C</w:t>
            </w:r>
            <w:r w:rsidRPr="00F8664C">
              <w:rPr>
                <w:rFonts w:ascii="Rokkitt" w:hAnsi="Rokkitt"/>
                <w:shd w:val="clear" w:color="auto" w:fill="FFFFFF"/>
              </w:rPr>
              <w:t>ompetizione formativa rivolta alle studentesse e agli st</w:t>
            </w:r>
            <w:r>
              <w:rPr>
                <w:rFonts w:ascii="Rokkitt" w:hAnsi="Rokkitt"/>
                <w:shd w:val="clear" w:color="auto" w:fill="FFFFFF"/>
              </w:rPr>
              <w:t xml:space="preserve">udenti iscritti </w:t>
            </w:r>
            <w:r w:rsidRPr="00F8664C">
              <w:rPr>
                <w:rFonts w:ascii="Rokkitt" w:hAnsi="Rokkitt"/>
                <w:shd w:val="clear" w:color="auto" w:fill="FFFFFF"/>
              </w:rPr>
              <w:t>delle Scuole secondarie di secondo grado</w:t>
            </w:r>
          </w:p>
        </w:tc>
        <w:tc>
          <w:tcPr>
            <w:tcW w:w="2835" w:type="dxa"/>
          </w:tcPr>
          <w:p w14:paraId="317FE582" w14:textId="52FBDE6B" w:rsidR="000D5519" w:rsidRDefault="006906F0" w:rsidP="00B27621">
            <w:pPr>
              <w:pStyle w:val="TableParagraph"/>
              <w:ind w:left="107" w:right="152" w:firstLine="60"/>
            </w:pPr>
            <w:r>
              <w:t>Tutte le classi</w:t>
            </w:r>
            <w:r w:rsidR="009056A1">
              <w:t>.</w:t>
            </w:r>
          </w:p>
        </w:tc>
      </w:tr>
      <w:tr w:rsidR="00344506" w:rsidRPr="009E54FB" w14:paraId="516CB4AB" w14:textId="77777777" w:rsidTr="00B27621">
        <w:trPr>
          <w:trHeight w:val="1179"/>
        </w:trPr>
        <w:tc>
          <w:tcPr>
            <w:tcW w:w="3119" w:type="dxa"/>
          </w:tcPr>
          <w:p w14:paraId="3E71D45F" w14:textId="77777777" w:rsidR="00344506" w:rsidRPr="00465F7E" w:rsidRDefault="00344506" w:rsidP="00B27621">
            <w:pPr>
              <w:pStyle w:val="TableParagraph"/>
              <w:ind w:left="167" w:right="142"/>
              <w:rPr>
                <w:b/>
                <w:i/>
                <w:iCs/>
              </w:rPr>
            </w:pPr>
            <w:r w:rsidRPr="00465F7E">
              <w:rPr>
                <w:b/>
                <w:i/>
                <w:iCs/>
              </w:rPr>
              <w:t>Concorso Green Game</w:t>
            </w:r>
          </w:p>
        </w:tc>
        <w:tc>
          <w:tcPr>
            <w:tcW w:w="4153" w:type="dxa"/>
          </w:tcPr>
          <w:p w14:paraId="2FED2824" w14:textId="77777777" w:rsidR="00344506" w:rsidRDefault="00344506" w:rsidP="00B27621">
            <w:pPr>
              <w:pStyle w:val="TableParagraph"/>
              <w:rPr>
                <w:bCs/>
              </w:rPr>
            </w:pPr>
            <w:r w:rsidRPr="00656C6A">
              <w:rPr>
                <w:bCs/>
              </w:rPr>
              <w:t>Green Game è un’iniziativa dei Consorzi Nazionali per la Raccolta, il Riciclo e il Recupero dei materiali d’imballaggio (</w:t>
            </w:r>
            <w:hyperlink r:id="rId4" w:tgtFrame="_blank" w:history="1">
              <w:r w:rsidRPr="00656C6A">
                <w:t>BIOREPACK</w:t>
              </w:r>
            </w:hyperlink>
            <w:r w:rsidRPr="00656C6A">
              <w:rPr>
                <w:bCs/>
              </w:rPr>
              <w:t> per la bioplastica compostabile, </w:t>
            </w:r>
            <w:hyperlink r:id="rId5" w:tgtFrame="_blank" w:history="1">
              <w:r w:rsidRPr="00656C6A">
                <w:t>CIAL</w:t>
              </w:r>
            </w:hyperlink>
            <w:r w:rsidRPr="00656C6A">
              <w:rPr>
                <w:bCs/>
              </w:rPr>
              <w:t xml:space="preserve"> per </w:t>
            </w:r>
            <w:r>
              <w:rPr>
                <w:bCs/>
              </w:rPr>
              <w:t>l’</w:t>
            </w:r>
            <w:r w:rsidRPr="00656C6A">
              <w:rPr>
                <w:bCs/>
              </w:rPr>
              <w:t>alluminio, </w:t>
            </w:r>
          </w:p>
          <w:p w14:paraId="3829A892" w14:textId="77777777" w:rsidR="00344506" w:rsidRPr="00656C6A" w:rsidRDefault="00344506" w:rsidP="00B27621">
            <w:pPr>
              <w:pStyle w:val="TableParagraph"/>
              <w:rPr>
                <w:bCs/>
              </w:rPr>
            </w:pPr>
            <w:r>
              <w:rPr>
                <w:bCs/>
              </w:rPr>
              <w:t xml:space="preserve"> </w:t>
            </w:r>
            <w:hyperlink r:id="rId6" w:tgtFrame="_blank" w:history="1">
              <w:r w:rsidRPr="00656C6A">
                <w:t>COMIECO</w:t>
              </w:r>
            </w:hyperlink>
            <w:r w:rsidRPr="00656C6A">
              <w:t> </w:t>
            </w:r>
            <w:r w:rsidRPr="00656C6A">
              <w:rPr>
                <w:bCs/>
              </w:rPr>
              <w:t xml:space="preserve">per la carta e il cartone, </w:t>
            </w:r>
            <w:hyperlink r:id="rId7" w:tgtFrame="_blank" w:history="1">
              <w:r w:rsidRPr="00656C6A">
                <w:t>COREPLA </w:t>
              </w:r>
            </w:hyperlink>
            <w:r w:rsidRPr="00656C6A">
              <w:rPr>
                <w:bCs/>
              </w:rPr>
              <w:t>per la plastica, </w:t>
            </w:r>
            <w:hyperlink r:id="rId8" w:tgtFrame="_blank" w:history="1">
              <w:r w:rsidRPr="00656C6A">
                <w:t>COREVE </w:t>
              </w:r>
            </w:hyperlink>
            <w:r w:rsidRPr="00656C6A">
              <w:rPr>
                <w:bCs/>
              </w:rPr>
              <w:t>per il vetro, </w:t>
            </w:r>
            <w:hyperlink r:id="rId9" w:tgtFrame="_blank" w:history="1">
              <w:r w:rsidRPr="00656C6A">
                <w:t>RICREA</w:t>
              </w:r>
            </w:hyperlink>
            <w:r w:rsidRPr="00656C6A">
              <w:t> </w:t>
            </w:r>
            <w:r w:rsidRPr="00656C6A">
              <w:rPr>
                <w:bCs/>
              </w:rPr>
              <w:t>per l’acciaio) per coinvolgere ed ingaggiare gli studenti delle scuole superiori sul tema della raccolta differenziata e del riciclo degli imballaggi. </w:t>
            </w:r>
          </w:p>
        </w:tc>
        <w:tc>
          <w:tcPr>
            <w:tcW w:w="2835" w:type="dxa"/>
          </w:tcPr>
          <w:p w14:paraId="3134CB6C" w14:textId="77777777" w:rsidR="00344506" w:rsidRPr="00656C6A" w:rsidRDefault="00344506" w:rsidP="00B27621">
            <w:pPr>
              <w:pStyle w:val="TableParagraph"/>
              <w:ind w:left="107" w:right="152" w:firstLine="35"/>
              <w:rPr>
                <w:bCs/>
              </w:rPr>
            </w:pPr>
            <w:r>
              <w:rPr>
                <w:bCs/>
              </w:rPr>
              <w:t>C</w:t>
            </w:r>
            <w:r w:rsidRPr="00656C6A">
              <w:rPr>
                <w:bCs/>
              </w:rPr>
              <w:t>lassi seconde d</w:t>
            </w:r>
            <w:r>
              <w:rPr>
                <w:bCs/>
              </w:rPr>
              <w:t>el liceo di</w:t>
            </w:r>
            <w:r w:rsidRPr="00656C6A">
              <w:rPr>
                <w:bCs/>
              </w:rPr>
              <w:t xml:space="preserve"> Marsico</w:t>
            </w:r>
            <w:r>
              <w:rPr>
                <w:bCs/>
              </w:rPr>
              <w:t xml:space="preserve"> Nuovo</w:t>
            </w:r>
          </w:p>
        </w:tc>
      </w:tr>
      <w:tr w:rsidR="00344506" w:rsidRPr="009E54FB" w14:paraId="7DC966A3" w14:textId="77777777" w:rsidTr="00B27621">
        <w:trPr>
          <w:trHeight w:val="775"/>
        </w:trPr>
        <w:tc>
          <w:tcPr>
            <w:tcW w:w="3119" w:type="dxa"/>
          </w:tcPr>
          <w:p w14:paraId="525BD412" w14:textId="77777777" w:rsidR="00344506" w:rsidRPr="00465F7E" w:rsidRDefault="00344506" w:rsidP="00B27621">
            <w:pPr>
              <w:pStyle w:val="TableParagraph"/>
              <w:ind w:left="167" w:right="142"/>
              <w:rPr>
                <w:b/>
                <w:i/>
                <w:iCs/>
              </w:rPr>
            </w:pPr>
            <w:r w:rsidRPr="00465F7E">
              <w:rPr>
                <w:b/>
                <w:i/>
                <w:iCs/>
              </w:rPr>
              <w:t>Concorso Calendario UNICEF</w:t>
            </w:r>
          </w:p>
        </w:tc>
        <w:tc>
          <w:tcPr>
            <w:tcW w:w="4153" w:type="dxa"/>
          </w:tcPr>
          <w:p w14:paraId="27E3891D" w14:textId="77777777" w:rsidR="00344506" w:rsidRPr="00656C6A" w:rsidRDefault="00344506" w:rsidP="00B27621">
            <w:pPr>
              <w:pStyle w:val="TableParagraph"/>
              <w:ind w:left="108" w:right="98"/>
              <w:rPr>
                <w:bCs/>
              </w:rPr>
            </w:pPr>
            <w:r w:rsidRPr="00656C6A">
              <w:rPr>
                <w:bCs/>
              </w:rPr>
              <w:t xml:space="preserve"> Partecipazione al concorso indetto dall’Unicef: crea il calendario su specifiche tematiche.</w:t>
            </w:r>
          </w:p>
        </w:tc>
        <w:tc>
          <w:tcPr>
            <w:tcW w:w="2835" w:type="dxa"/>
          </w:tcPr>
          <w:p w14:paraId="5F0FD774" w14:textId="77777777" w:rsidR="00344506" w:rsidRPr="00656C6A" w:rsidRDefault="00344506" w:rsidP="00B27621">
            <w:pPr>
              <w:pStyle w:val="TableParagraph"/>
              <w:ind w:left="107" w:right="152" w:firstLine="60"/>
              <w:rPr>
                <w:bCs/>
              </w:rPr>
            </w:pPr>
            <w:r w:rsidRPr="00656C6A">
              <w:rPr>
                <w:bCs/>
              </w:rPr>
              <w:t>Tutt</w:t>
            </w:r>
            <w:r>
              <w:rPr>
                <w:bCs/>
              </w:rPr>
              <w:t>e le classi</w:t>
            </w:r>
          </w:p>
        </w:tc>
      </w:tr>
      <w:tr w:rsidR="00344506" w:rsidRPr="009E54FB" w14:paraId="18399007" w14:textId="77777777" w:rsidTr="00B27621">
        <w:trPr>
          <w:trHeight w:val="775"/>
        </w:trPr>
        <w:tc>
          <w:tcPr>
            <w:tcW w:w="3119" w:type="dxa"/>
          </w:tcPr>
          <w:p w14:paraId="61454433" w14:textId="77777777" w:rsidR="00344506" w:rsidRPr="00465F7E" w:rsidRDefault="00344506" w:rsidP="00B27621">
            <w:pPr>
              <w:pStyle w:val="TableParagraph"/>
              <w:ind w:left="147" w:right="142"/>
              <w:rPr>
                <w:b/>
                <w:i/>
                <w:iCs/>
              </w:rPr>
            </w:pPr>
            <w:r w:rsidRPr="00465F7E">
              <w:rPr>
                <w:b/>
                <w:i/>
                <w:iCs/>
              </w:rPr>
              <w:t># Io mi prendo cura…</w:t>
            </w:r>
          </w:p>
        </w:tc>
        <w:tc>
          <w:tcPr>
            <w:tcW w:w="4153" w:type="dxa"/>
          </w:tcPr>
          <w:p w14:paraId="395653B6" w14:textId="77777777" w:rsidR="00344506" w:rsidRPr="009E54FB" w:rsidRDefault="00344506" w:rsidP="00B27621">
            <w:pPr>
              <w:pStyle w:val="TableParagraph"/>
              <w:ind w:left="108" w:right="98"/>
              <w:rPr>
                <w:bCs/>
              </w:rPr>
            </w:pPr>
            <w:r>
              <w:rPr>
                <w:bCs/>
              </w:rPr>
              <w:t>Ogni classe, nell’ambito dell’educazione civica sui temi della sostenibilità, si</w:t>
            </w:r>
            <w:r w:rsidRPr="00896E03">
              <w:rPr>
                <w:bCs/>
              </w:rPr>
              <w:t xml:space="preserve"> prender</w:t>
            </w:r>
            <w:r>
              <w:rPr>
                <w:bCs/>
              </w:rPr>
              <w:t>à</w:t>
            </w:r>
            <w:r w:rsidRPr="00896E03">
              <w:rPr>
                <w:bCs/>
              </w:rPr>
              <w:t xml:space="preserve"> cura del proprio ambiente didattico</w:t>
            </w:r>
            <w:r>
              <w:rPr>
                <w:bCs/>
              </w:rPr>
              <w:t>, mantenendolo ordinato, pulito e rendendolo più accogliente e bello.</w:t>
            </w:r>
          </w:p>
        </w:tc>
        <w:tc>
          <w:tcPr>
            <w:tcW w:w="2835" w:type="dxa"/>
          </w:tcPr>
          <w:p w14:paraId="3FD63845" w14:textId="77777777" w:rsidR="00344506" w:rsidRPr="009E54FB" w:rsidRDefault="00344506" w:rsidP="00B27621">
            <w:pPr>
              <w:pStyle w:val="TableParagraph"/>
              <w:ind w:left="107" w:right="152" w:firstLine="60"/>
              <w:rPr>
                <w:bCs/>
              </w:rPr>
            </w:pPr>
            <w:r>
              <w:t xml:space="preserve">Tutte le classi </w:t>
            </w:r>
          </w:p>
        </w:tc>
      </w:tr>
      <w:tr w:rsidR="00344506" w:rsidRPr="009E54FB" w14:paraId="16AF4500" w14:textId="77777777" w:rsidTr="00B27621">
        <w:trPr>
          <w:trHeight w:val="575"/>
        </w:trPr>
        <w:tc>
          <w:tcPr>
            <w:tcW w:w="3119" w:type="dxa"/>
          </w:tcPr>
          <w:p w14:paraId="3FD3B665" w14:textId="35F53EDC" w:rsidR="00344506" w:rsidRPr="00465F7E" w:rsidRDefault="00BB068B" w:rsidP="00B27621">
            <w:pPr>
              <w:ind w:firstLine="147"/>
              <w:rPr>
                <w:b/>
                <w:i/>
                <w:iCs/>
              </w:rPr>
            </w:pPr>
            <w:r w:rsidRPr="0045114D">
              <w:rPr>
                <w:b/>
                <w:i/>
                <w:iCs/>
                <w:sz w:val="24"/>
                <w:szCs w:val="24"/>
              </w:rPr>
              <w:t>“</w:t>
            </w:r>
            <w:r w:rsidRPr="001203DA">
              <w:rPr>
                <w:b/>
                <w:i/>
                <w:iCs/>
              </w:rPr>
              <w:t>Mito e tragedia” - Teatro Greco di Siracusa</w:t>
            </w:r>
          </w:p>
        </w:tc>
        <w:tc>
          <w:tcPr>
            <w:tcW w:w="4153" w:type="dxa"/>
          </w:tcPr>
          <w:p w14:paraId="38091AFB" w14:textId="2E3DEEFE" w:rsidR="00344506" w:rsidRPr="00DB27C3" w:rsidRDefault="00344506" w:rsidP="00B27621">
            <w:pPr>
              <w:shd w:val="clear" w:color="auto" w:fill="FFFFFF"/>
              <w:ind w:left="142"/>
              <w:rPr>
                <w:rStyle w:val="ParagrafoelencoCarattere"/>
                <w:rFonts w:eastAsiaTheme="majorEastAsia"/>
              </w:rPr>
            </w:pPr>
            <w:r>
              <w:rPr>
                <w:rStyle w:val="ParagrafoelencoCarattere"/>
                <w:rFonts w:eastAsiaTheme="majorEastAsia"/>
              </w:rPr>
              <w:t>Partecipazione alle rappresentazioni teatrali presso il Teatro Greco di Siracusa</w:t>
            </w:r>
            <w:r w:rsidR="00085C39">
              <w:rPr>
                <w:rStyle w:val="ParagrafoelencoCarattere"/>
                <w:rFonts w:eastAsiaTheme="majorEastAsia"/>
              </w:rPr>
              <w:t>.</w:t>
            </w:r>
          </w:p>
        </w:tc>
        <w:tc>
          <w:tcPr>
            <w:tcW w:w="2835" w:type="dxa"/>
          </w:tcPr>
          <w:p w14:paraId="505CE44D" w14:textId="40B691BB" w:rsidR="00344506" w:rsidRDefault="00344506" w:rsidP="00B27621">
            <w:pPr>
              <w:pStyle w:val="TableParagraph"/>
              <w:ind w:left="107" w:right="152" w:firstLine="60"/>
            </w:pPr>
            <w:r>
              <w:t>2</w:t>
            </w:r>
            <w:r w:rsidR="00730219">
              <w:t>A 4B 4C</w:t>
            </w:r>
            <w:r>
              <w:t xml:space="preserve"> Liceo Viggiano</w:t>
            </w:r>
          </w:p>
        </w:tc>
      </w:tr>
      <w:tr w:rsidR="00344506" w:rsidRPr="009E54FB" w14:paraId="0575C42A" w14:textId="77777777" w:rsidTr="00B27621">
        <w:trPr>
          <w:trHeight w:val="775"/>
        </w:trPr>
        <w:tc>
          <w:tcPr>
            <w:tcW w:w="3119" w:type="dxa"/>
          </w:tcPr>
          <w:p w14:paraId="4348D03B" w14:textId="77777777" w:rsidR="00344506" w:rsidRPr="00465F7E" w:rsidRDefault="00344506" w:rsidP="00B27621">
            <w:pPr>
              <w:ind w:firstLine="147"/>
              <w:rPr>
                <w:b/>
                <w:i/>
                <w:iCs/>
              </w:rPr>
            </w:pPr>
            <w:r w:rsidRPr="00465F7E">
              <w:rPr>
                <w:b/>
                <w:i/>
                <w:iCs/>
              </w:rPr>
              <w:t>WEB RADIO</w:t>
            </w:r>
          </w:p>
        </w:tc>
        <w:tc>
          <w:tcPr>
            <w:tcW w:w="4153" w:type="dxa"/>
          </w:tcPr>
          <w:p w14:paraId="5B693C40" w14:textId="77777777" w:rsidR="00344506" w:rsidRPr="00DB27C3" w:rsidRDefault="00344506" w:rsidP="00B27621">
            <w:pPr>
              <w:shd w:val="clear" w:color="auto" w:fill="FFFFFF"/>
              <w:ind w:left="142" w:right="141"/>
              <w:rPr>
                <w:rStyle w:val="ParagrafoelencoCarattere"/>
                <w:rFonts w:eastAsiaTheme="majorEastAsia"/>
              </w:rPr>
            </w:pPr>
            <w:r>
              <w:t xml:space="preserve">È </w:t>
            </w:r>
            <w:r w:rsidRPr="00060F7D">
              <w:t xml:space="preserve">un progetto didattico innovativo promosso dal </w:t>
            </w:r>
            <w:r>
              <w:t xml:space="preserve">MI. </w:t>
            </w:r>
            <w:r w:rsidRPr="008C1FA1">
              <w:t xml:space="preserve">Ad animarla saranno studentesse e studenti con approfondimenti, interviste, interazioni per capire di più e meglio come sta cambiando la scuola, quali sono le migliori pratiche, quali sono gli </w:t>
            </w:r>
            <w:r w:rsidRPr="008C1FA1">
              <w:lastRenderedPageBreak/>
              <w:t xml:space="preserve">eventi in programmazione e le opportunità da cogliere. </w:t>
            </w:r>
          </w:p>
        </w:tc>
        <w:tc>
          <w:tcPr>
            <w:tcW w:w="2835" w:type="dxa"/>
          </w:tcPr>
          <w:p w14:paraId="6F3954C4" w14:textId="77777777" w:rsidR="00344506" w:rsidRDefault="00344506" w:rsidP="00B27621">
            <w:pPr>
              <w:pStyle w:val="TableParagraph"/>
              <w:ind w:left="142" w:right="152"/>
            </w:pPr>
            <w:r>
              <w:lastRenderedPageBreak/>
              <w:t>Tutte le classi</w:t>
            </w:r>
          </w:p>
        </w:tc>
      </w:tr>
      <w:tr w:rsidR="00344506" w:rsidRPr="009E54FB" w14:paraId="1FAB9E24" w14:textId="77777777" w:rsidTr="00B27621">
        <w:trPr>
          <w:trHeight w:val="775"/>
        </w:trPr>
        <w:tc>
          <w:tcPr>
            <w:tcW w:w="3119" w:type="dxa"/>
          </w:tcPr>
          <w:p w14:paraId="11F33489" w14:textId="77777777" w:rsidR="00344506" w:rsidRPr="00465F7E" w:rsidRDefault="00344506" w:rsidP="00B27621">
            <w:pPr>
              <w:ind w:firstLine="147"/>
              <w:rPr>
                <w:b/>
                <w:i/>
                <w:iCs/>
              </w:rPr>
            </w:pPr>
            <w:r>
              <w:rPr>
                <w:b/>
                <w:i/>
                <w:iCs/>
              </w:rPr>
              <w:t>Giochi sportivi studenteschi</w:t>
            </w:r>
          </w:p>
        </w:tc>
        <w:tc>
          <w:tcPr>
            <w:tcW w:w="4153" w:type="dxa"/>
          </w:tcPr>
          <w:p w14:paraId="3A3324DE" w14:textId="77777777" w:rsidR="00344506" w:rsidRDefault="00344506" w:rsidP="00B27621">
            <w:pPr>
              <w:shd w:val="clear" w:color="auto" w:fill="FFFFFF"/>
              <w:ind w:left="142" w:right="141"/>
            </w:pPr>
            <w:r w:rsidRPr="00FC27D4">
              <w:t>Campionati Studenteschi, organizzati dal MI in collaborazione con Sport e Salute SpA, con il Comitato Italiano Paralimpico (CIP), con le Federazioni Sportive Nazionali (FSN) e le Discipline Sportive Associate (DSA) riconosciute dal CONI, con le Federazioni Sportive e Discipline Sportive riconosciute dal CIP, con le Regioni e gli Enti locali</w:t>
            </w:r>
            <w:r>
              <w:t xml:space="preserve">. </w:t>
            </w:r>
          </w:p>
        </w:tc>
        <w:tc>
          <w:tcPr>
            <w:tcW w:w="2835" w:type="dxa"/>
          </w:tcPr>
          <w:p w14:paraId="571A1BDC" w14:textId="77777777" w:rsidR="00344506" w:rsidRDefault="00344506" w:rsidP="00B27621">
            <w:pPr>
              <w:pStyle w:val="TableParagraph"/>
              <w:ind w:left="142" w:right="152"/>
            </w:pPr>
            <w:r>
              <w:t>Tutte le classi</w:t>
            </w:r>
          </w:p>
        </w:tc>
      </w:tr>
      <w:tr w:rsidR="00EA7391" w:rsidRPr="009E54FB" w14:paraId="5BF48CB0" w14:textId="77777777" w:rsidTr="00B27621">
        <w:trPr>
          <w:trHeight w:val="775"/>
        </w:trPr>
        <w:tc>
          <w:tcPr>
            <w:tcW w:w="3119" w:type="dxa"/>
          </w:tcPr>
          <w:p w14:paraId="7A520DC6" w14:textId="42685761" w:rsidR="00EA7391" w:rsidRDefault="00EA7391" w:rsidP="00B27621">
            <w:pPr>
              <w:ind w:firstLine="147"/>
              <w:rPr>
                <w:b/>
                <w:i/>
                <w:iCs/>
              </w:rPr>
            </w:pPr>
            <w:r w:rsidRPr="000973FE">
              <w:rPr>
                <w:b/>
                <w:bCs/>
              </w:rPr>
              <w:t>MEDAARCH</w:t>
            </w:r>
          </w:p>
        </w:tc>
        <w:tc>
          <w:tcPr>
            <w:tcW w:w="4153" w:type="dxa"/>
          </w:tcPr>
          <w:p w14:paraId="38E76655" w14:textId="7ABB4DE4" w:rsidR="00EA7391" w:rsidRPr="00FC27D4" w:rsidRDefault="00EA7391" w:rsidP="00B27621">
            <w:pPr>
              <w:shd w:val="clear" w:color="auto" w:fill="FFFFFF"/>
              <w:ind w:left="142" w:right="141"/>
            </w:pPr>
            <w:r>
              <w:t>P</w:t>
            </w:r>
            <w:r w:rsidRPr="000973FE">
              <w:t>rogetto da realizza</w:t>
            </w:r>
            <w:r>
              <w:t>r</w:t>
            </w:r>
            <w:r w:rsidRPr="000973FE">
              <w:t>e in collaborazione con l’azienda M</w:t>
            </w:r>
            <w:r>
              <w:t>EDAARCH,</w:t>
            </w:r>
            <w:r w:rsidRPr="000973FE">
              <w:t xml:space="preserve"> un’azienda di design specializzata nelle tecnologie digitali</w:t>
            </w:r>
            <w:r>
              <w:t>, da</w:t>
            </w:r>
            <w:r w:rsidRPr="00320EAB">
              <w:t xml:space="preserve"> finanziare con il Fondo per la repubblica digitale.</w:t>
            </w:r>
          </w:p>
        </w:tc>
        <w:tc>
          <w:tcPr>
            <w:tcW w:w="2835" w:type="dxa"/>
          </w:tcPr>
          <w:p w14:paraId="204D9908" w14:textId="635FD809" w:rsidR="00EA7391" w:rsidRDefault="00EA7391" w:rsidP="00B27621">
            <w:pPr>
              <w:pStyle w:val="TableParagraph"/>
              <w:ind w:left="142" w:right="152"/>
            </w:pPr>
            <w:r w:rsidRPr="0045114D">
              <w:rPr>
                <w:sz w:val="24"/>
                <w:szCs w:val="24"/>
              </w:rPr>
              <w:t>Classi del triennio</w:t>
            </w:r>
          </w:p>
        </w:tc>
      </w:tr>
      <w:tr w:rsidR="00EA7391" w:rsidRPr="009E54FB" w14:paraId="67612CDB" w14:textId="77777777" w:rsidTr="00B27621">
        <w:trPr>
          <w:trHeight w:val="775"/>
        </w:trPr>
        <w:tc>
          <w:tcPr>
            <w:tcW w:w="3119" w:type="dxa"/>
          </w:tcPr>
          <w:p w14:paraId="740E1FF2" w14:textId="569B721E" w:rsidR="00EA7391" w:rsidRPr="00B0646A" w:rsidRDefault="00EA7391" w:rsidP="00B27621">
            <w:pPr>
              <w:ind w:firstLine="147"/>
              <w:rPr>
                <w:b/>
                <w:i/>
                <w:iCs/>
              </w:rPr>
            </w:pPr>
            <w:r w:rsidRPr="00B0646A">
              <w:rPr>
                <w:b/>
                <w:i/>
                <w:iCs/>
              </w:rPr>
              <w:t>Cultura è…protezione civile</w:t>
            </w:r>
          </w:p>
          <w:p w14:paraId="20A120B2" w14:textId="77777777" w:rsidR="00EA7391" w:rsidRPr="000973FE" w:rsidRDefault="00EA7391" w:rsidP="00B27621">
            <w:pPr>
              <w:ind w:firstLine="147"/>
              <w:rPr>
                <w:b/>
                <w:bCs/>
              </w:rPr>
            </w:pPr>
          </w:p>
        </w:tc>
        <w:tc>
          <w:tcPr>
            <w:tcW w:w="4153" w:type="dxa"/>
          </w:tcPr>
          <w:p w14:paraId="606FFD97" w14:textId="5854FE79" w:rsidR="00EA7391" w:rsidRPr="000973FE" w:rsidRDefault="00F21D3F" w:rsidP="00B27621">
            <w:pPr>
              <w:shd w:val="clear" w:color="auto" w:fill="FFFFFF"/>
              <w:ind w:left="142" w:right="141"/>
            </w:pPr>
            <w:r w:rsidRPr="00F21D3F">
              <w:t>Collaborazione con soggetti istituzionali (Comuni, VV.F., Prefetture, volontariato e terzo settore) e nell’ambito dei moduli di orientamento formativo degli studenti e dei PCTO</w:t>
            </w:r>
            <w:r w:rsidR="00F3074B">
              <w:t xml:space="preserve">. </w:t>
            </w:r>
            <w:r w:rsidR="00F3074B" w:rsidRPr="00F3074B">
              <w:rPr>
                <w:rFonts w:ascii="Roboto" w:hAnsi="Roboto"/>
                <w:color w:val="111111"/>
                <w:sz w:val="21"/>
                <w:szCs w:val="21"/>
                <w:shd w:val="clear" w:color="auto" w:fill="F3F3F3"/>
              </w:rPr>
              <w:t xml:space="preserve"> </w:t>
            </w:r>
            <w:r w:rsidR="00F3074B" w:rsidRPr="00F3074B">
              <w:t>Coinvolgimento dei Comuni per illustrare il ruolo dell’Autorità comunale di Protezione Civile, i Piani di protezione civile, e la conoscenza storica del territorio e dei suoi rischi prevalenti.</w:t>
            </w:r>
          </w:p>
        </w:tc>
        <w:tc>
          <w:tcPr>
            <w:tcW w:w="2835" w:type="dxa"/>
          </w:tcPr>
          <w:p w14:paraId="43607B26" w14:textId="6EEFC914" w:rsidR="00EA7391" w:rsidRDefault="00EA7391" w:rsidP="00B27621">
            <w:pPr>
              <w:pStyle w:val="TableParagraph"/>
              <w:ind w:left="142" w:right="152"/>
            </w:pPr>
            <w:r w:rsidRPr="0045114D">
              <w:rPr>
                <w:sz w:val="24"/>
                <w:szCs w:val="24"/>
              </w:rPr>
              <w:t>Classi del triennio</w:t>
            </w:r>
          </w:p>
        </w:tc>
      </w:tr>
      <w:tr w:rsidR="00724BF4" w:rsidRPr="009E54FB" w14:paraId="786604B8" w14:textId="77777777" w:rsidTr="00B27621">
        <w:trPr>
          <w:trHeight w:val="775"/>
        </w:trPr>
        <w:tc>
          <w:tcPr>
            <w:tcW w:w="3119" w:type="dxa"/>
          </w:tcPr>
          <w:p w14:paraId="1A22695B" w14:textId="37FE4979" w:rsidR="00724BF4" w:rsidRPr="00724BF4" w:rsidRDefault="00724BF4" w:rsidP="00B27621">
            <w:pPr>
              <w:ind w:firstLine="147"/>
              <w:rPr>
                <w:b/>
                <w:i/>
                <w:iCs/>
              </w:rPr>
            </w:pPr>
            <w:r w:rsidRPr="00724BF4">
              <w:rPr>
                <w:b/>
                <w:i/>
                <w:iCs/>
              </w:rPr>
              <w:t>Inventiamo una banconota</w:t>
            </w:r>
          </w:p>
          <w:p w14:paraId="64FAE837" w14:textId="77777777" w:rsidR="00724BF4" w:rsidRPr="00B0646A" w:rsidRDefault="00724BF4" w:rsidP="00B27621">
            <w:pPr>
              <w:ind w:firstLine="147"/>
              <w:rPr>
                <w:b/>
                <w:i/>
                <w:iCs/>
              </w:rPr>
            </w:pPr>
          </w:p>
        </w:tc>
        <w:tc>
          <w:tcPr>
            <w:tcW w:w="4153" w:type="dxa"/>
          </w:tcPr>
          <w:p w14:paraId="08AB75C7" w14:textId="5A1F58E2" w:rsidR="00724BF4" w:rsidRPr="000973FE" w:rsidRDefault="00AB032D" w:rsidP="00B27621">
            <w:pPr>
              <w:shd w:val="clear" w:color="auto" w:fill="FFFFFF"/>
              <w:ind w:left="142" w:right="141"/>
            </w:pPr>
            <w:r>
              <w:t>I</w:t>
            </w:r>
            <w:r w:rsidR="00D4105A" w:rsidRPr="00D4105A">
              <w:t>l Premio</w:t>
            </w:r>
            <w:r>
              <w:t xml:space="preserve">, promosso dalla Banca d’Italia, </w:t>
            </w:r>
            <w:r w:rsidR="00D4105A" w:rsidRPr="00D4105A">
              <w:t>intende coinvolgere studenti, studentesse e in un progetto interdisciplinare</w:t>
            </w:r>
            <w:r w:rsidR="00CC1037">
              <w:t xml:space="preserve"> </w:t>
            </w:r>
            <w:r w:rsidR="00D4105A" w:rsidRPr="00D4105A">
              <w:t>consistente nella realizzazione di un bozzetto di una banconota "immaginaria".</w:t>
            </w:r>
          </w:p>
        </w:tc>
        <w:tc>
          <w:tcPr>
            <w:tcW w:w="2835" w:type="dxa"/>
          </w:tcPr>
          <w:p w14:paraId="34D20712" w14:textId="613745B8" w:rsidR="00724BF4" w:rsidRDefault="00B77DA9" w:rsidP="00B27621">
            <w:pPr>
              <w:pStyle w:val="TableParagraph"/>
              <w:ind w:left="142" w:right="152"/>
            </w:pPr>
            <w:r>
              <w:t>VA</w:t>
            </w:r>
            <w:r w:rsidR="004958C5">
              <w:t xml:space="preserve"> e</w:t>
            </w:r>
            <w:r>
              <w:t xml:space="preserve"> VB Liceo Marsico Nuovo</w:t>
            </w:r>
          </w:p>
        </w:tc>
      </w:tr>
      <w:tr w:rsidR="00724BF4" w:rsidRPr="009E54FB" w14:paraId="41CEEFC9" w14:textId="77777777" w:rsidTr="00B27621">
        <w:trPr>
          <w:trHeight w:val="775"/>
        </w:trPr>
        <w:tc>
          <w:tcPr>
            <w:tcW w:w="3119" w:type="dxa"/>
          </w:tcPr>
          <w:p w14:paraId="1011B5D5" w14:textId="7F876D37" w:rsidR="00ED554D" w:rsidRPr="00ED554D" w:rsidRDefault="00ED554D" w:rsidP="00B27621">
            <w:pPr>
              <w:ind w:firstLine="147"/>
              <w:rPr>
                <w:b/>
                <w:i/>
                <w:iCs/>
                <w:lang w:val="en-US"/>
              </w:rPr>
            </w:pPr>
            <w:r w:rsidRPr="00ED554D">
              <w:rPr>
                <w:b/>
                <w:i/>
                <w:iCs/>
                <w:lang w:val="en-US"/>
              </w:rPr>
              <w:t xml:space="preserve">Attività SER.D </w:t>
            </w:r>
          </w:p>
          <w:p w14:paraId="47ADD609" w14:textId="51A45BB7" w:rsidR="00ED554D" w:rsidRPr="004A5B4D" w:rsidRDefault="00ED554D" w:rsidP="00B27621">
            <w:pPr>
              <w:ind w:firstLine="147"/>
              <w:rPr>
                <w:rFonts w:ascii="Cambria" w:hAnsi="Cambria"/>
                <w:bCs/>
                <w:iCs/>
              </w:rPr>
            </w:pPr>
          </w:p>
          <w:p w14:paraId="2F8D3AC6" w14:textId="77777777" w:rsidR="00724BF4" w:rsidRPr="00B0646A" w:rsidRDefault="00724BF4" w:rsidP="00B27621">
            <w:pPr>
              <w:ind w:firstLine="147"/>
              <w:rPr>
                <w:b/>
                <w:i/>
                <w:iCs/>
              </w:rPr>
            </w:pPr>
          </w:p>
        </w:tc>
        <w:tc>
          <w:tcPr>
            <w:tcW w:w="4153" w:type="dxa"/>
          </w:tcPr>
          <w:p w14:paraId="58147C32" w14:textId="5896ECBE" w:rsidR="00724BF4" w:rsidRPr="000973FE" w:rsidRDefault="000D27C6" w:rsidP="00B27621">
            <w:pPr>
              <w:shd w:val="clear" w:color="auto" w:fill="FFFFFF"/>
              <w:ind w:left="142" w:right="141"/>
            </w:pPr>
            <w:r>
              <w:t>I</w:t>
            </w:r>
            <w:r w:rsidRPr="000D27C6">
              <w:t xml:space="preserve">nterventi </w:t>
            </w:r>
            <w:r>
              <w:t>ch</w:t>
            </w:r>
            <w:r w:rsidRPr="000D27C6">
              <w:t xml:space="preserve">e prevedono discussioni in classe su argomenti di pertinenza del </w:t>
            </w:r>
            <w:r w:rsidR="00077CCA">
              <w:t>SER</w:t>
            </w:r>
            <w:r w:rsidRPr="000D27C6">
              <w:t>.D</w:t>
            </w:r>
            <w:r>
              <w:t>.</w:t>
            </w:r>
          </w:p>
        </w:tc>
        <w:tc>
          <w:tcPr>
            <w:tcW w:w="2835" w:type="dxa"/>
          </w:tcPr>
          <w:p w14:paraId="24ED61D5" w14:textId="07696D75" w:rsidR="00724BF4" w:rsidRDefault="000F6088" w:rsidP="00B27621">
            <w:pPr>
              <w:pStyle w:val="TableParagraph"/>
              <w:ind w:left="142" w:right="152"/>
            </w:pPr>
            <w:r w:rsidRPr="0045114D">
              <w:rPr>
                <w:sz w:val="24"/>
                <w:szCs w:val="24"/>
              </w:rPr>
              <w:t>Classi del biennio</w:t>
            </w:r>
          </w:p>
        </w:tc>
      </w:tr>
      <w:tr w:rsidR="0051467E" w:rsidRPr="009E54FB" w14:paraId="70520BE3" w14:textId="77777777" w:rsidTr="00B27621">
        <w:trPr>
          <w:trHeight w:val="775"/>
        </w:trPr>
        <w:tc>
          <w:tcPr>
            <w:tcW w:w="3119" w:type="dxa"/>
          </w:tcPr>
          <w:p w14:paraId="6A954F85" w14:textId="697E24C5" w:rsidR="0051467E" w:rsidRPr="00C254C8" w:rsidRDefault="00E056E8" w:rsidP="00B27621">
            <w:pPr>
              <w:ind w:firstLine="147"/>
              <w:rPr>
                <w:b/>
                <w:i/>
                <w:iCs/>
              </w:rPr>
            </w:pPr>
            <w:r w:rsidRPr="00C254C8">
              <w:rPr>
                <w:b/>
                <w:i/>
                <w:iCs/>
              </w:rPr>
              <w:t>Rotary</w:t>
            </w:r>
            <w:r w:rsidR="0074777A" w:rsidRPr="00C254C8">
              <w:rPr>
                <w:b/>
                <w:i/>
                <w:iCs/>
              </w:rPr>
              <w:t xml:space="preserve"> </w:t>
            </w:r>
            <w:r w:rsidR="004372F6">
              <w:rPr>
                <w:b/>
                <w:i/>
                <w:iCs/>
              </w:rPr>
              <w:t xml:space="preserve">club: </w:t>
            </w:r>
            <w:r w:rsidR="00C254C8" w:rsidRPr="00C254C8">
              <w:rPr>
                <w:b/>
                <w:i/>
                <w:iCs/>
              </w:rPr>
              <w:t>“</w:t>
            </w:r>
            <w:r w:rsidR="002E77D0">
              <w:rPr>
                <w:b/>
                <w:i/>
                <w:iCs/>
              </w:rPr>
              <w:t>Le</w:t>
            </w:r>
            <w:r w:rsidR="00C254C8" w:rsidRPr="00C254C8">
              <w:rPr>
                <w:b/>
                <w:i/>
                <w:iCs/>
              </w:rPr>
              <w:t xml:space="preserve"> donne della d</w:t>
            </w:r>
            <w:r w:rsidR="00C254C8">
              <w:rPr>
                <w:b/>
                <w:i/>
                <w:iCs/>
              </w:rPr>
              <w:t xml:space="preserve">ichiarazione universale dei diritti </w:t>
            </w:r>
            <w:r w:rsidR="002E77D0">
              <w:rPr>
                <w:b/>
                <w:i/>
                <w:iCs/>
              </w:rPr>
              <w:t>umani”</w:t>
            </w:r>
          </w:p>
        </w:tc>
        <w:tc>
          <w:tcPr>
            <w:tcW w:w="4153" w:type="dxa"/>
          </w:tcPr>
          <w:p w14:paraId="7D189FCB" w14:textId="1B0F47E8" w:rsidR="0051467E" w:rsidRPr="000973FE" w:rsidRDefault="004372F6" w:rsidP="00B27621">
            <w:pPr>
              <w:shd w:val="clear" w:color="auto" w:fill="FFFFFF"/>
              <w:ind w:left="142" w:right="141"/>
            </w:pPr>
            <w:r>
              <w:t>Lettura de</w:t>
            </w:r>
            <w:r w:rsidRPr="004372F6">
              <w:t xml:space="preserve">l libro </w:t>
            </w:r>
            <w:r>
              <w:t xml:space="preserve">donato dal Rotary Club che </w:t>
            </w:r>
            <w:r w:rsidRPr="004372F6">
              <w:t>propone il profilo di otto donne nate in luoghi diversi del mondo, anche molto lontani fra loro, che hanno estrazioni sociali differenti e vivono in contesti umani dissimili che nel 1948, tutte insieme hanno dato vita ad un documento che ha cambiato la storia dell’umanità.</w:t>
            </w:r>
          </w:p>
        </w:tc>
        <w:tc>
          <w:tcPr>
            <w:tcW w:w="2835" w:type="dxa"/>
          </w:tcPr>
          <w:p w14:paraId="34B71FF7" w14:textId="7679C33E" w:rsidR="0051467E" w:rsidRDefault="00077CCA" w:rsidP="00B27621">
            <w:pPr>
              <w:pStyle w:val="TableParagraph"/>
              <w:ind w:left="142" w:right="152"/>
            </w:pPr>
            <w:r w:rsidRPr="0045114D">
              <w:rPr>
                <w:sz w:val="24"/>
                <w:szCs w:val="24"/>
              </w:rPr>
              <w:t>IID Liceo Marsico Nuovo e IVB, IVC liceo Viggiano</w:t>
            </w:r>
          </w:p>
        </w:tc>
      </w:tr>
      <w:tr w:rsidR="00724BF4" w14:paraId="24F04E52" w14:textId="77777777" w:rsidTr="00B27621">
        <w:trPr>
          <w:trHeight w:val="340"/>
        </w:trPr>
        <w:tc>
          <w:tcPr>
            <w:tcW w:w="3119" w:type="dxa"/>
          </w:tcPr>
          <w:p w14:paraId="240B363D" w14:textId="2F55ADDE" w:rsidR="00724BF4" w:rsidRPr="00465F7E" w:rsidRDefault="00724BF4" w:rsidP="00B27621">
            <w:pPr>
              <w:pStyle w:val="TableParagraph"/>
              <w:ind w:left="147" w:right="142"/>
              <w:rPr>
                <w:b/>
                <w:i/>
                <w:iCs/>
              </w:rPr>
            </w:pPr>
            <w:r w:rsidRPr="00465F7E">
              <w:rPr>
                <w:b/>
                <w:i/>
                <w:iCs/>
              </w:rPr>
              <w:t xml:space="preserve">PNRR </w:t>
            </w:r>
            <w:r w:rsidR="00C9359B" w:rsidRPr="0045114D">
              <w:rPr>
                <w:b/>
                <w:bCs/>
                <w:i/>
                <w:iCs/>
                <w:sz w:val="24"/>
                <w:szCs w:val="24"/>
              </w:rPr>
              <w:t xml:space="preserve">- divari territoriali e lotta alla dispersione scolastica – </w:t>
            </w:r>
          </w:p>
          <w:p w14:paraId="5D2C79FB" w14:textId="77777777" w:rsidR="00724BF4" w:rsidRPr="00465F7E" w:rsidRDefault="00724BF4" w:rsidP="00B27621">
            <w:pPr>
              <w:pStyle w:val="TableParagraph"/>
              <w:ind w:left="147" w:right="142"/>
              <w:rPr>
                <w:b/>
                <w:i/>
                <w:iCs/>
              </w:rPr>
            </w:pPr>
          </w:p>
          <w:p w14:paraId="0E507864" w14:textId="77777777" w:rsidR="00724BF4" w:rsidRPr="00465F7E" w:rsidRDefault="00724BF4" w:rsidP="00B27621">
            <w:pPr>
              <w:pStyle w:val="TableParagraph"/>
              <w:ind w:left="147" w:right="142"/>
              <w:rPr>
                <w:b/>
                <w:i/>
                <w:iCs/>
              </w:rPr>
            </w:pPr>
          </w:p>
          <w:p w14:paraId="40273E83" w14:textId="77777777" w:rsidR="00724BF4" w:rsidRPr="00465F7E" w:rsidRDefault="00724BF4" w:rsidP="00B27621">
            <w:pPr>
              <w:pStyle w:val="TableParagraph"/>
              <w:ind w:left="147" w:right="142"/>
              <w:rPr>
                <w:b/>
                <w:i/>
                <w:iCs/>
              </w:rPr>
            </w:pPr>
          </w:p>
          <w:p w14:paraId="3C960B8B" w14:textId="77777777" w:rsidR="00724BF4" w:rsidRPr="00465F7E" w:rsidRDefault="00724BF4" w:rsidP="00B27621">
            <w:pPr>
              <w:pStyle w:val="TableParagraph"/>
              <w:ind w:left="147" w:right="142"/>
              <w:rPr>
                <w:b/>
                <w:i/>
                <w:iCs/>
              </w:rPr>
            </w:pPr>
          </w:p>
        </w:tc>
        <w:tc>
          <w:tcPr>
            <w:tcW w:w="4153" w:type="dxa"/>
          </w:tcPr>
          <w:p w14:paraId="6345B92C" w14:textId="77777777" w:rsidR="00724BF4" w:rsidRPr="00C2169B" w:rsidRDefault="00724BF4" w:rsidP="00B27621">
            <w:pPr>
              <w:pStyle w:val="TableParagraph"/>
              <w:ind w:left="108" w:right="98"/>
            </w:pPr>
            <w:r>
              <w:t xml:space="preserve">L’obiettivo di questa linea di investimento del PNRR è quello di </w:t>
            </w:r>
            <w:r w:rsidRPr="00C2169B">
              <w:t xml:space="preserve">potenziare le competenze di base di studentesse e studenti e a contrastare la dispersione scolastica, grazie a interventi mirati alle realtà territoriali e personalizzati sui bisogni degli studenti. Gli interventi si svilupperanno in 4 anni, promuovendo il successo formativo e l’inclusione sociale. </w:t>
            </w:r>
          </w:p>
          <w:p w14:paraId="04DDB97C" w14:textId="77777777" w:rsidR="00724BF4" w:rsidRDefault="00724BF4" w:rsidP="00B27621">
            <w:pPr>
              <w:pStyle w:val="TableParagraph"/>
              <w:ind w:left="108" w:right="98"/>
            </w:pPr>
            <w:r w:rsidRPr="00C2169B">
              <w:t xml:space="preserve">Il piano prevede azioni specificamente finalizzate al contrasto dell’abbandono scolastico, alla promozione del successo educativo e dell’inclusione sociale, con </w:t>
            </w:r>
            <w:r w:rsidRPr="00C2169B">
              <w:lastRenderedPageBreak/>
              <w:t>programmi e iniziative di tutoraggio, consulenza e orientamento attivo e professionale, con lo sviluppo di un portale nazionale per la formazione on line e con moduli di formazione per docenti</w:t>
            </w:r>
            <w:r>
              <w:t>.</w:t>
            </w:r>
          </w:p>
        </w:tc>
        <w:tc>
          <w:tcPr>
            <w:tcW w:w="2835" w:type="dxa"/>
          </w:tcPr>
          <w:p w14:paraId="49217E1F" w14:textId="33497161" w:rsidR="00724BF4" w:rsidRDefault="00B27621" w:rsidP="00B27621">
            <w:pPr>
              <w:pStyle w:val="TableParagraph"/>
              <w:ind w:left="107" w:right="152"/>
            </w:pPr>
            <w:r w:rsidRPr="00B27621">
              <w:lastRenderedPageBreak/>
              <w:t>Studenti del primo e secondo biennio.</w:t>
            </w:r>
          </w:p>
        </w:tc>
      </w:tr>
      <w:tr w:rsidR="00724BF4" w14:paraId="40E93AC8" w14:textId="77777777" w:rsidTr="00B27621">
        <w:trPr>
          <w:trHeight w:val="775"/>
        </w:trPr>
        <w:tc>
          <w:tcPr>
            <w:tcW w:w="3119" w:type="dxa"/>
          </w:tcPr>
          <w:p w14:paraId="31F95836" w14:textId="77777777" w:rsidR="00724BF4" w:rsidRPr="00465F7E" w:rsidRDefault="00724BF4" w:rsidP="00B27621">
            <w:pPr>
              <w:shd w:val="clear" w:color="auto" w:fill="FFFFFF"/>
              <w:rPr>
                <w:b/>
                <w:i/>
                <w:iCs/>
              </w:rPr>
            </w:pPr>
            <w:r w:rsidRPr="00465F7E">
              <w:rPr>
                <w:b/>
                <w:i/>
                <w:iCs/>
              </w:rPr>
              <w:t>PNRR- Missione 4 “Istruzione e ricerca” – Componente 1 “Potenziamento dell’offerta dei servizi di istruzione: dagli asili nido alle Università” – Investimento 2.1 “Didattica digitale integrata e formazione alla transizione digitale per il personale scolastico”.</w:t>
            </w:r>
            <w:r>
              <w:rPr>
                <w:b/>
                <w:i/>
                <w:iCs/>
              </w:rPr>
              <w:t xml:space="preserve"> </w:t>
            </w:r>
            <w:r w:rsidRPr="00465F7E">
              <w:rPr>
                <w:b/>
                <w:i/>
                <w:iCs/>
              </w:rPr>
              <w:t>Linea di investimento</w:t>
            </w:r>
          </w:p>
          <w:p w14:paraId="45B9E0D7" w14:textId="77777777" w:rsidR="00724BF4" w:rsidRPr="00465F7E" w:rsidRDefault="00724BF4" w:rsidP="00B27621">
            <w:pPr>
              <w:shd w:val="clear" w:color="auto" w:fill="FFFFFF"/>
              <w:rPr>
                <w:b/>
                <w:i/>
                <w:iCs/>
              </w:rPr>
            </w:pPr>
            <w:r w:rsidRPr="00465F7E">
              <w:rPr>
                <w:b/>
                <w:i/>
                <w:iCs/>
              </w:rPr>
              <w:t>M4C1I2.1 - Didattica digitale integrata e formazione sulla transizione digitale del personale scolastico- Codice Avviso M4C1I2.1-2022-941</w:t>
            </w:r>
          </w:p>
          <w:p w14:paraId="06F36E0D" w14:textId="77777777" w:rsidR="00724BF4" w:rsidRPr="00465F7E" w:rsidRDefault="00724BF4" w:rsidP="00B27621">
            <w:pPr>
              <w:pStyle w:val="TableParagraph"/>
              <w:ind w:left="108" w:right="98"/>
              <w:rPr>
                <w:b/>
                <w:i/>
                <w:iCs/>
              </w:rPr>
            </w:pPr>
          </w:p>
        </w:tc>
        <w:tc>
          <w:tcPr>
            <w:tcW w:w="4153" w:type="dxa"/>
          </w:tcPr>
          <w:p w14:paraId="43D1A950" w14:textId="77777777" w:rsidR="00724BF4" w:rsidRDefault="00724BF4" w:rsidP="00B27621">
            <w:pPr>
              <w:pStyle w:val="TableParagraph"/>
              <w:ind w:left="108" w:right="98"/>
            </w:pPr>
            <w:r w:rsidRPr="00492876">
              <w:t>L'articolo 2 del decreto del Ministro dell'istruzione 11 agosto 2022, n. 222, prevede il finanziamento di azioni di coinvolgimento degli animatori digitali nell'ambito della linea di investimento 2.1 "Didattica digitale integrata e formazione alla transizione digitale per il personale scolastico" di cui alla Missione 4 - Componente 1 - del PNRR. A ciascuna istituzione scolastica sono assegnati 2.000,00 euro per l'attuazione di azioni finalizzate alla formazione del personale scolastico alla transizione digitale e al coinvolgimento della comunità scolastica. I fondi coprono le azioni di formazione e affiancamento del personale scolastico, svolte con la collaborazione degli animatori digitali, per gli anni scolastici 2022-2023 e 2023-2024.</w:t>
            </w:r>
          </w:p>
        </w:tc>
        <w:tc>
          <w:tcPr>
            <w:tcW w:w="2835" w:type="dxa"/>
          </w:tcPr>
          <w:p w14:paraId="5D592B91" w14:textId="77777777" w:rsidR="00724BF4" w:rsidRDefault="00724BF4" w:rsidP="00B27621">
            <w:pPr>
              <w:pStyle w:val="TableParagraph"/>
              <w:ind w:left="107" w:right="152" w:firstLine="60"/>
            </w:pPr>
            <w:r>
              <w:t xml:space="preserve">Personale scolastico </w:t>
            </w:r>
          </w:p>
        </w:tc>
      </w:tr>
      <w:tr w:rsidR="00724BF4" w14:paraId="12E51F1F" w14:textId="77777777" w:rsidTr="00B27621">
        <w:trPr>
          <w:trHeight w:val="775"/>
        </w:trPr>
        <w:tc>
          <w:tcPr>
            <w:tcW w:w="3119" w:type="dxa"/>
          </w:tcPr>
          <w:p w14:paraId="4E80F414" w14:textId="77777777" w:rsidR="00724BF4" w:rsidRPr="00485CC4" w:rsidRDefault="00724BF4" w:rsidP="00B27621">
            <w:pPr>
              <w:shd w:val="clear" w:color="auto" w:fill="FFFFFF"/>
              <w:rPr>
                <w:b/>
                <w:i/>
                <w:iCs/>
              </w:rPr>
            </w:pPr>
            <w:r w:rsidRPr="00485CC4">
              <w:rPr>
                <w:b/>
                <w:i/>
                <w:iCs/>
              </w:rPr>
              <w:t xml:space="preserve">PNRR  - divari territoriali e lotta alla dispersione scolastica – </w:t>
            </w:r>
          </w:p>
          <w:p w14:paraId="442092E9" w14:textId="3522797E" w:rsidR="00724BF4" w:rsidRDefault="00724BF4" w:rsidP="00B27621">
            <w:pPr>
              <w:shd w:val="clear" w:color="auto" w:fill="FFFFFF"/>
              <w:rPr>
                <w:b/>
                <w:i/>
                <w:iCs/>
              </w:rPr>
            </w:pPr>
            <w:r w:rsidRPr="00485CC4">
              <w:rPr>
                <w:b/>
                <w:i/>
                <w:iCs/>
              </w:rPr>
              <w:t xml:space="preserve">Percorsi di mentoring, sostegno,  laboratori per il recupero </w:t>
            </w:r>
            <w:r w:rsidR="0036088A">
              <w:rPr>
                <w:b/>
                <w:i/>
                <w:iCs/>
              </w:rPr>
              <w:t xml:space="preserve">e </w:t>
            </w:r>
            <w:r w:rsidRPr="00485CC4">
              <w:rPr>
                <w:b/>
                <w:i/>
                <w:iCs/>
              </w:rPr>
              <w:t>il</w:t>
            </w:r>
            <w:r w:rsidR="0036088A">
              <w:rPr>
                <w:b/>
                <w:i/>
                <w:iCs/>
              </w:rPr>
              <w:t xml:space="preserve"> </w:t>
            </w:r>
            <w:r w:rsidRPr="00485CC4">
              <w:rPr>
                <w:b/>
                <w:i/>
                <w:iCs/>
              </w:rPr>
              <w:t>rafforzamento delle competenze di base.</w:t>
            </w:r>
          </w:p>
          <w:p w14:paraId="30B0C0D9" w14:textId="3A6C8E2E" w:rsidR="00724BF4" w:rsidRPr="00465F7E" w:rsidRDefault="00724BF4" w:rsidP="00B27621">
            <w:pPr>
              <w:shd w:val="clear" w:color="auto" w:fill="FFFFFF"/>
              <w:rPr>
                <w:b/>
                <w:i/>
                <w:iCs/>
              </w:rPr>
            </w:pPr>
          </w:p>
        </w:tc>
        <w:tc>
          <w:tcPr>
            <w:tcW w:w="4153" w:type="dxa"/>
          </w:tcPr>
          <w:p w14:paraId="07E31443" w14:textId="77777777" w:rsidR="00724BF4" w:rsidRPr="00492876" w:rsidRDefault="00724BF4" w:rsidP="00B27621">
            <w:pPr>
              <w:pStyle w:val="TableParagraph"/>
              <w:ind w:left="108" w:right="98"/>
            </w:pPr>
            <w:r w:rsidRPr="00C45255">
              <w:t>Missione 4 “Istruzione e ricerca” – Componente 1 “Potenziamento dell’offerta dei servizi di istruzione: dagli asili nido alle Università” – Investimento 1.4.</w:t>
            </w:r>
            <w:r>
              <w:t xml:space="preserve"> Interventi straordinari finalizzati alla riduzione dei divari territoriali della scuola secondaria e alla lotta alla dispersione scolastica, mirati alla riduzione dell’abbandono scolastico, realizzati attraverso una strategia di tipo sistemico, basata sul miglioramento continuo della didattica e sulla personalizzazione degli apprendimenti, sul monitoraggio costante delle studentesse e degli studenti più esposti al rischio di dispersione, sulla progettazione coordinata degli interventi, sulla misurazione continua dell’efficacia delle azioni intraprese, sulla sinergia con la comunità locale e sul rafforzamento della collaborazione con le famiglie.</w:t>
            </w:r>
          </w:p>
        </w:tc>
        <w:tc>
          <w:tcPr>
            <w:tcW w:w="2835" w:type="dxa"/>
          </w:tcPr>
          <w:p w14:paraId="2D8CF022" w14:textId="77777777" w:rsidR="00724BF4" w:rsidRDefault="00724BF4" w:rsidP="00B27621">
            <w:pPr>
              <w:pStyle w:val="TableParagraph"/>
              <w:ind w:left="107" w:right="152"/>
            </w:pPr>
            <w:r w:rsidRPr="00832EF6">
              <w:t>Studenti del primo e secondo biennio.</w:t>
            </w:r>
          </w:p>
        </w:tc>
      </w:tr>
      <w:tr w:rsidR="008615DB" w14:paraId="6EF15A0F" w14:textId="77777777" w:rsidTr="00B27621">
        <w:trPr>
          <w:trHeight w:val="775"/>
        </w:trPr>
        <w:tc>
          <w:tcPr>
            <w:tcW w:w="3119" w:type="dxa"/>
          </w:tcPr>
          <w:p w14:paraId="22669B9C" w14:textId="3B25D862" w:rsidR="008615DB" w:rsidRPr="00485CC4" w:rsidRDefault="004E0C25" w:rsidP="00B27621">
            <w:pPr>
              <w:shd w:val="clear" w:color="auto" w:fill="FFFFFF"/>
              <w:rPr>
                <w:b/>
                <w:i/>
                <w:iCs/>
              </w:rPr>
            </w:pPr>
            <w:r w:rsidRPr="0036088A">
              <w:rPr>
                <w:b/>
                <w:i/>
                <w:iCs/>
              </w:rPr>
              <w:t>PNRR -</w:t>
            </w:r>
            <w:r w:rsidR="00A06F91">
              <w:rPr>
                <w:b/>
                <w:i/>
                <w:iCs/>
              </w:rPr>
              <w:t xml:space="preserve"> </w:t>
            </w:r>
            <w:r w:rsidR="00B8591D" w:rsidRPr="0036088A">
              <w:rPr>
                <w:b/>
                <w:i/>
                <w:iCs/>
              </w:rPr>
              <w:t>STEM e Multilinguismo-</w:t>
            </w:r>
            <w:r w:rsidRPr="0036088A">
              <w:rPr>
                <w:b/>
                <w:i/>
                <w:iCs/>
              </w:rPr>
              <w:t xml:space="preserve"> </w:t>
            </w:r>
          </w:p>
        </w:tc>
        <w:tc>
          <w:tcPr>
            <w:tcW w:w="4153" w:type="dxa"/>
          </w:tcPr>
          <w:p w14:paraId="556C71FC" w14:textId="13CAF50A" w:rsidR="008615DB" w:rsidRPr="00780BF3" w:rsidRDefault="00780BF3" w:rsidP="00B27621">
            <w:pPr>
              <w:pStyle w:val="TableParagraph"/>
              <w:ind w:left="108" w:right="98"/>
              <w:rPr>
                <w:bCs/>
              </w:rPr>
            </w:pPr>
            <w:r w:rsidRPr="00780BF3">
              <w:rPr>
                <w:bCs/>
              </w:rPr>
              <w:t>Percorsi di orientamento e formazione per il potenziamento delle competenze STEM, digitali e di innovazione, finalizzate alla promozione di pari opportunità di genere</w:t>
            </w:r>
            <w:r w:rsidR="00A06F91">
              <w:rPr>
                <w:bCs/>
              </w:rPr>
              <w:t xml:space="preserve">. </w:t>
            </w:r>
            <w:r w:rsidR="00A06F91" w:rsidRPr="00A06F91">
              <w:rPr>
                <w:rFonts w:ascii="Lora" w:hAnsi="Lora"/>
                <w:color w:val="455B71"/>
                <w:sz w:val="27"/>
                <w:szCs w:val="27"/>
                <w:shd w:val="clear" w:color="auto" w:fill="FFFFFF"/>
              </w:rPr>
              <w:t xml:space="preserve"> </w:t>
            </w:r>
            <w:r w:rsidR="00A06F91" w:rsidRPr="00A06F91">
              <w:rPr>
                <w:bCs/>
              </w:rPr>
              <w:t xml:space="preserve">Realizzazione di percorsi formativi di lingua e di metodologia di durata annuale, finalizzati al potenziamento delle competenze linguistiche dei docenti in servizio e al miglioramento delle loro competenze metodologiche di insegnamento. </w:t>
            </w:r>
            <w:r w:rsidRPr="00780BF3">
              <w:rPr>
                <w:bCs/>
              </w:rPr>
              <w:t xml:space="preserve">(Certificazione EIPASS, Realtà aumentata e multiverso; </w:t>
            </w:r>
            <w:r w:rsidRPr="00780BF3">
              <w:rPr>
                <w:bCs/>
              </w:rPr>
              <w:lastRenderedPageBreak/>
              <w:t>Certificazioni linguistiche).</w:t>
            </w:r>
          </w:p>
        </w:tc>
        <w:tc>
          <w:tcPr>
            <w:tcW w:w="2835" w:type="dxa"/>
          </w:tcPr>
          <w:p w14:paraId="60B1419A" w14:textId="0B2E96B4" w:rsidR="008615DB" w:rsidRDefault="002F4708" w:rsidP="00B27621">
            <w:pPr>
              <w:pStyle w:val="TableParagraph"/>
              <w:ind w:left="107" w:right="152"/>
            </w:pPr>
            <w:r w:rsidRPr="0045114D">
              <w:rPr>
                <w:sz w:val="24"/>
                <w:szCs w:val="24"/>
              </w:rPr>
              <w:lastRenderedPageBreak/>
              <w:t>Tutte le classi</w:t>
            </w:r>
          </w:p>
          <w:p w14:paraId="3C5DA0DF" w14:textId="77777777" w:rsidR="002F4708" w:rsidRPr="002F4708" w:rsidRDefault="002F4708" w:rsidP="002F4708">
            <w:pPr>
              <w:ind w:firstLine="708"/>
            </w:pPr>
          </w:p>
        </w:tc>
      </w:tr>
    </w:tbl>
    <w:p w14:paraId="764F80D1" w14:textId="77777777" w:rsidR="00724BF4" w:rsidRDefault="00724BF4" w:rsidP="00344506">
      <w:pPr>
        <w:pStyle w:val="Corpotesto"/>
        <w:spacing w:before="10"/>
        <w:ind w:left="0"/>
        <w:rPr>
          <w:sz w:val="24"/>
          <w:szCs w:val="24"/>
        </w:rPr>
      </w:pPr>
    </w:p>
    <w:p w14:paraId="245CEC80" w14:textId="77777777" w:rsidR="00724BF4" w:rsidRDefault="00724BF4" w:rsidP="00344506">
      <w:pPr>
        <w:pStyle w:val="Corpotesto"/>
        <w:spacing w:before="10"/>
        <w:ind w:left="0"/>
        <w:rPr>
          <w:sz w:val="24"/>
          <w:szCs w:val="24"/>
        </w:rPr>
      </w:pPr>
    </w:p>
    <w:p w14:paraId="1474BEAF" w14:textId="77777777" w:rsidR="00C75580" w:rsidRDefault="00C75580"/>
    <w:sectPr w:rsidR="00C7558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kkitt">
    <w:altName w:val="Times New Roman"/>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Lora">
    <w:charset w:val="00"/>
    <w:family w:val="auto"/>
    <w:pitch w:val="variable"/>
    <w:sig w:usb0="A00002FF" w:usb1="5000204B" w:usb2="00000000" w:usb3="00000000" w:csb0="000000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506"/>
    <w:rsid w:val="00020A57"/>
    <w:rsid w:val="00043917"/>
    <w:rsid w:val="000575AE"/>
    <w:rsid w:val="00077CCA"/>
    <w:rsid w:val="00085C39"/>
    <w:rsid w:val="000A0E56"/>
    <w:rsid w:val="000C196F"/>
    <w:rsid w:val="000D27C6"/>
    <w:rsid w:val="000D5519"/>
    <w:rsid w:val="000E7315"/>
    <w:rsid w:val="000F6088"/>
    <w:rsid w:val="001071EC"/>
    <w:rsid w:val="001203DA"/>
    <w:rsid w:val="001352DB"/>
    <w:rsid w:val="00174ECE"/>
    <w:rsid w:val="001F7523"/>
    <w:rsid w:val="00251753"/>
    <w:rsid w:val="0027499E"/>
    <w:rsid w:val="00294EAD"/>
    <w:rsid w:val="002A4824"/>
    <w:rsid w:val="002E2087"/>
    <w:rsid w:val="002E77D0"/>
    <w:rsid w:val="002F4708"/>
    <w:rsid w:val="00320EAB"/>
    <w:rsid w:val="00344506"/>
    <w:rsid w:val="00345AC0"/>
    <w:rsid w:val="00353B69"/>
    <w:rsid w:val="0036088A"/>
    <w:rsid w:val="003B7349"/>
    <w:rsid w:val="00425157"/>
    <w:rsid w:val="004372F6"/>
    <w:rsid w:val="00440830"/>
    <w:rsid w:val="004676D3"/>
    <w:rsid w:val="004958C5"/>
    <w:rsid w:val="004B5A02"/>
    <w:rsid w:val="004C3EB5"/>
    <w:rsid w:val="004E0C25"/>
    <w:rsid w:val="00511746"/>
    <w:rsid w:val="0051467E"/>
    <w:rsid w:val="00581BB5"/>
    <w:rsid w:val="005E32BF"/>
    <w:rsid w:val="005F07CF"/>
    <w:rsid w:val="006906F0"/>
    <w:rsid w:val="00724BF4"/>
    <w:rsid w:val="00725C3D"/>
    <w:rsid w:val="00730219"/>
    <w:rsid w:val="0073748D"/>
    <w:rsid w:val="0074777A"/>
    <w:rsid w:val="00754CF9"/>
    <w:rsid w:val="00755640"/>
    <w:rsid w:val="0077767E"/>
    <w:rsid w:val="00780BF3"/>
    <w:rsid w:val="007A2CF2"/>
    <w:rsid w:val="008262B6"/>
    <w:rsid w:val="00840939"/>
    <w:rsid w:val="008615DB"/>
    <w:rsid w:val="00865678"/>
    <w:rsid w:val="008F5A93"/>
    <w:rsid w:val="009056A1"/>
    <w:rsid w:val="009064DD"/>
    <w:rsid w:val="0092383F"/>
    <w:rsid w:val="00970658"/>
    <w:rsid w:val="00A01DA8"/>
    <w:rsid w:val="00A06F91"/>
    <w:rsid w:val="00A206F5"/>
    <w:rsid w:val="00A50213"/>
    <w:rsid w:val="00AB032D"/>
    <w:rsid w:val="00AD104B"/>
    <w:rsid w:val="00B02715"/>
    <w:rsid w:val="00B0646A"/>
    <w:rsid w:val="00B27621"/>
    <w:rsid w:val="00B577DA"/>
    <w:rsid w:val="00B77194"/>
    <w:rsid w:val="00B77DA9"/>
    <w:rsid w:val="00B8591D"/>
    <w:rsid w:val="00B85EDA"/>
    <w:rsid w:val="00BA2A4A"/>
    <w:rsid w:val="00BA6CD0"/>
    <w:rsid w:val="00BB068B"/>
    <w:rsid w:val="00C21858"/>
    <w:rsid w:val="00C2425C"/>
    <w:rsid w:val="00C254C8"/>
    <w:rsid w:val="00C7019C"/>
    <w:rsid w:val="00C75580"/>
    <w:rsid w:val="00C9359B"/>
    <w:rsid w:val="00CC1037"/>
    <w:rsid w:val="00CC2E37"/>
    <w:rsid w:val="00CE43E5"/>
    <w:rsid w:val="00D24FB6"/>
    <w:rsid w:val="00D4105A"/>
    <w:rsid w:val="00D67987"/>
    <w:rsid w:val="00D90E03"/>
    <w:rsid w:val="00DC3752"/>
    <w:rsid w:val="00E05337"/>
    <w:rsid w:val="00E056E8"/>
    <w:rsid w:val="00E21420"/>
    <w:rsid w:val="00E53B4F"/>
    <w:rsid w:val="00E907AC"/>
    <w:rsid w:val="00EA4279"/>
    <w:rsid w:val="00EA7391"/>
    <w:rsid w:val="00ED165F"/>
    <w:rsid w:val="00ED554D"/>
    <w:rsid w:val="00EE3330"/>
    <w:rsid w:val="00F11616"/>
    <w:rsid w:val="00F21D3F"/>
    <w:rsid w:val="00F3074B"/>
    <w:rsid w:val="00F31C30"/>
    <w:rsid w:val="00F51A7A"/>
    <w:rsid w:val="00F55D6C"/>
    <w:rsid w:val="00F948FF"/>
    <w:rsid w:val="00FD6843"/>
    <w:rsid w:val="00FD71B5"/>
    <w:rsid w:val="00FE0198"/>
    <w:rsid w:val="00FE03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6D38C"/>
  <w15:chartTrackingRefBased/>
  <w15:docId w15:val="{5D556510-000C-47A0-BE50-D6ABF41A4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44506"/>
    <w:pPr>
      <w:widowControl w:val="0"/>
      <w:autoSpaceDE w:val="0"/>
      <w:autoSpaceDN w:val="0"/>
      <w:spacing w:after="0" w:line="240" w:lineRule="auto"/>
    </w:pPr>
    <w:rPr>
      <w:rFonts w:ascii="Times New Roman" w:eastAsia="Times New Roman" w:hAnsi="Times New Roman" w:cs="Times New Roman"/>
      <w:kern w:val="0"/>
      <w:lang w:eastAsia="it-IT"/>
      <w14:ligatures w14:val="none"/>
    </w:rPr>
  </w:style>
  <w:style w:type="paragraph" w:styleId="Titolo1">
    <w:name w:val="heading 1"/>
    <w:basedOn w:val="Normale"/>
    <w:next w:val="Normale"/>
    <w:link w:val="Titolo1Carattere"/>
    <w:uiPriority w:val="9"/>
    <w:qFormat/>
    <w:rsid w:val="00344506"/>
    <w:pPr>
      <w:keepNext/>
      <w:keepLines/>
      <w:widowControl/>
      <w:autoSpaceDE/>
      <w:autoSpaceDN/>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itolo2">
    <w:name w:val="heading 2"/>
    <w:basedOn w:val="Normale"/>
    <w:next w:val="Normale"/>
    <w:link w:val="Titolo2Carattere"/>
    <w:uiPriority w:val="9"/>
    <w:semiHidden/>
    <w:unhideWhenUsed/>
    <w:qFormat/>
    <w:rsid w:val="00344506"/>
    <w:pPr>
      <w:keepNext/>
      <w:keepLines/>
      <w:widowControl/>
      <w:autoSpaceDE/>
      <w:autoSpaceDN/>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itolo3">
    <w:name w:val="heading 3"/>
    <w:basedOn w:val="Normale"/>
    <w:next w:val="Normale"/>
    <w:link w:val="Titolo3Carattere"/>
    <w:uiPriority w:val="9"/>
    <w:semiHidden/>
    <w:unhideWhenUsed/>
    <w:qFormat/>
    <w:rsid w:val="00344506"/>
    <w:pPr>
      <w:keepNext/>
      <w:keepLines/>
      <w:widowControl/>
      <w:autoSpaceDE/>
      <w:autoSpaceDN/>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itolo4">
    <w:name w:val="heading 4"/>
    <w:basedOn w:val="Normale"/>
    <w:next w:val="Normale"/>
    <w:link w:val="Titolo4Carattere"/>
    <w:uiPriority w:val="9"/>
    <w:semiHidden/>
    <w:unhideWhenUsed/>
    <w:qFormat/>
    <w:rsid w:val="00344506"/>
    <w:pPr>
      <w:keepNext/>
      <w:keepLines/>
      <w:widowControl/>
      <w:autoSpaceDE/>
      <w:autoSpaceDN/>
      <w:spacing w:before="80" w:after="40" w:line="259"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itolo5">
    <w:name w:val="heading 5"/>
    <w:basedOn w:val="Normale"/>
    <w:next w:val="Normale"/>
    <w:link w:val="Titolo5Carattere"/>
    <w:uiPriority w:val="9"/>
    <w:semiHidden/>
    <w:unhideWhenUsed/>
    <w:qFormat/>
    <w:rsid w:val="00344506"/>
    <w:pPr>
      <w:keepNext/>
      <w:keepLines/>
      <w:widowControl/>
      <w:autoSpaceDE/>
      <w:autoSpaceDN/>
      <w:spacing w:before="80" w:after="40" w:line="259"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itolo6">
    <w:name w:val="heading 6"/>
    <w:basedOn w:val="Normale"/>
    <w:next w:val="Normale"/>
    <w:link w:val="Titolo6Carattere"/>
    <w:uiPriority w:val="9"/>
    <w:semiHidden/>
    <w:unhideWhenUsed/>
    <w:qFormat/>
    <w:rsid w:val="00344506"/>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itolo7">
    <w:name w:val="heading 7"/>
    <w:basedOn w:val="Normale"/>
    <w:next w:val="Normale"/>
    <w:link w:val="Titolo7Carattere"/>
    <w:uiPriority w:val="9"/>
    <w:semiHidden/>
    <w:unhideWhenUsed/>
    <w:qFormat/>
    <w:rsid w:val="00344506"/>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itolo8">
    <w:name w:val="heading 8"/>
    <w:basedOn w:val="Normale"/>
    <w:next w:val="Normale"/>
    <w:link w:val="Titolo8Carattere"/>
    <w:uiPriority w:val="9"/>
    <w:semiHidden/>
    <w:unhideWhenUsed/>
    <w:qFormat/>
    <w:rsid w:val="00344506"/>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itolo9">
    <w:name w:val="heading 9"/>
    <w:basedOn w:val="Normale"/>
    <w:next w:val="Normale"/>
    <w:link w:val="Titolo9Carattere"/>
    <w:uiPriority w:val="9"/>
    <w:semiHidden/>
    <w:unhideWhenUsed/>
    <w:qFormat/>
    <w:rsid w:val="00344506"/>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4450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4450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44506"/>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4450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4450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4450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4450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4450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44506"/>
    <w:rPr>
      <w:rFonts w:eastAsiaTheme="majorEastAsia" w:cstheme="majorBidi"/>
      <w:color w:val="272727" w:themeColor="text1" w:themeTint="D8"/>
    </w:rPr>
  </w:style>
  <w:style w:type="paragraph" w:styleId="Titolo">
    <w:name w:val="Title"/>
    <w:basedOn w:val="Normale"/>
    <w:next w:val="Normale"/>
    <w:link w:val="TitoloCarattere"/>
    <w:uiPriority w:val="10"/>
    <w:qFormat/>
    <w:rsid w:val="00344506"/>
    <w:pPr>
      <w:widowControl/>
      <w:autoSpaceDE/>
      <w:autoSpaceDN/>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oloCarattere">
    <w:name w:val="Titolo Carattere"/>
    <w:basedOn w:val="Carpredefinitoparagrafo"/>
    <w:link w:val="Titolo"/>
    <w:uiPriority w:val="10"/>
    <w:rsid w:val="0034450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44506"/>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ttotitoloCarattere">
    <w:name w:val="Sottotitolo Carattere"/>
    <w:basedOn w:val="Carpredefinitoparagrafo"/>
    <w:link w:val="Sottotitolo"/>
    <w:uiPriority w:val="11"/>
    <w:rsid w:val="0034450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44506"/>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zioneCarattere">
    <w:name w:val="Citazione Carattere"/>
    <w:basedOn w:val="Carpredefinitoparagrafo"/>
    <w:link w:val="Citazione"/>
    <w:uiPriority w:val="29"/>
    <w:rsid w:val="00344506"/>
    <w:rPr>
      <w:i/>
      <w:iCs/>
      <w:color w:val="404040" w:themeColor="text1" w:themeTint="BF"/>
    </w:rPr>
  </w:style>
  <w:style w:type="paragraph" w:styleId="Paragrafoelenco">
    <w:name w:val="List Paragraph"/>
    <w:basedOn w:val="Normale"/>
    <w:link w:val="ParagrafoelencoCarattere"/>
    <w:uiPriority w:val="1"/>
    <w:qFormat/>
    <w:rsid w:val="00344506"/>
    <w:pPr>
      <w:widowControl/>
      <w:autoSpaceDE/>
      <w:autoSpaceDN/>
      <w:spacing w:after="160" w:line="259" w:lineRule="auto"/>
      <w:ind w:left="720"/>
      <w:contextualSpacing/>
    </w:pPr>
    <w:rPr>
      <w:rFonts w:asciiTheme="minorHAnsi" w:eastAsiaTheme="minorHAnsi" w:hAnsiTheme="minorHAnsi" w:cstheme="minorBidi"/>
      <w:kern w:val="2"/>
      <w:lang w:eastAsia="en-US"/>
      <w14:ligatures w14:val="standardContextual"/>
    </w:rPr>
  </w:style>
  <w:style w:type="character" w:styleId="Enfasiintensa">
    <w:name w:val="Intense Emphasis"/>
    <w:basedOn w:val="Carpredefinitoparagrafo"/>
    <w:uiPriority w:val="21"/>
    <w:qFormat/>
    <w:rsid w:val="00344506"/>
    <w:rPr>
      <w:i/>
      <w:iCs/>
      <w:color w:val="0F4761" w:themeColor="accent1" w:themeShade="BF"/>
    </w:rPr>
  </w:style>
  <w:style w:type="paragraph" w:styleId="Citazioneintensa">
    <w:name w:val="Intense Quote"/>
    <w:basedOn w:val="Normale"/>
    <w:next w:val="Normale"/>
    <w:link w:val="CitazioneintensaCarattere"/>
    <w:uiPriority w:val="30"/>
    <w:qFormat/>
    <w:rsid w:val="00344506"/>
    <w:pPr>
      <w:widowControl/>
      <w:pBdr>
        <w:top w:val="single" w:sz="4" w:space="10" w:color="0F4761" w:themeColor="accent1" w:themeShade="BF"/>
        <w:bottom w:val="single" w:sz="4" w:space="10" w:color="0F4761"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itazioneintensaCarattere">
    <w:name w:val="Citazione intensa Carattere"/>
    <w:basedOn w:val="Carpredefinitoparagrafo"/>
    <w:link w:val="Citazioneintensa"/>
    <w:uiPriority w:val="30"/>
    <w:rsid w:val="00344506"/>
    <w:rPr>
      <w:i/>
      <w:iCs/>
      <w:color w:val="0F4761" w:themeColor="accent1" w:themeShade="BF"/>
    </w:rPr>
  </w:style>
  <w:style w:type="character" w:styleId="Riferimentointenso">
    <w:name w:val="Intense Reference"/>
    <w:basedOn w:val="Carpredefinitoparagrafo"/>
    <w:uiPriority w:val="32"/>
    <w:qFormat/>
    <w:rsid w:val="00344506"/>
    <w:rPr>
      <w:b/>
      <w:bCs/>
      <w:smallCaps/>
      <w:color w:val="0F4761" w:themeColor="accent1" w:themeShade="BF"/>
      <w:spacing w:val="5"/>
    </w:rPr>
  </w:style>
  <w:style w:type="paragraph" w:styleId="Corpotesto">
    <w:name w:val="Body Text"/>
    <w:basedOn w:val="Normale"/>
    <w:link w:val="CorpotestoCarattere"/>
    <w:uiPriority w:val="99"/>
    <w:qFormat/>
    <w:rsid w:val="00344506"/>
    <w:pPr>
      <w:ind w:left="299"/>
    </w:pPr>
    <w:rPr>
      <w:rFonts w:eastAsia="Calibri"/>
      <w:sz w:val="20"/>
      <w:szCs w:val="20"/>
      <w:lang w:eastAsia="ja-JP"/>
    </w:rPr>
  </w:style>
  <w:style w:type="character" w:customStyle="1" w:styleId="CorpotestoCarattere">
    <w:name w:val="Corpo testo Carattere"/>
    <w:basedOn w:val="Carpredefinitoparagrafo"/>
    <w:link w:val="Corpotesto"/>
    <w:uiPriority w:val="99"/>
    <w:rsid w:val="00344506"/>
    <w:rPr>
      <w:rFonts w:ascii="Times New Roman" w:eastAsia="Calibri" w:hAnsi="Times New Roman" w:cs="Times New Roman"/>
      <w:kern w:val="0"/>
      <w:sz w:val="20"/>
      <w:szCs w:val="20"/>
      <w:lang w:eastAsia="ja-JP"/>
      <w14:ligatures w14:val="none"/>
    </w:rPr>
  </w:style>
  <w:style w:type="character" w:customStyle="1" w:styleId="ParagrafoelencoCarattere">
    <w:name w:val="Paragrafo elenco Carattere"/>
    <w:link w:val="Paragrafoelenco"/>
    <w:uiPriority w:val="1"/>
    <w:locked/>
    <w:rsid w:val="00344506"/>
  </w:style>
  <w:style w:type="paragraph" w:customStyle="1" w:styleId="TableParagraph">
    <w:name w:val="Table Paragraph"/>
    <w:basedOn w:val="Normale"/>
    <w:uiPriority w:val="1"/>
    <w:qFormat/>
    <w:rsid w:val="00344506"/>
  </w:style>
  <w:style w:type="character" w:customStyle="1" w:styleId="markedcontent">
    <w:name w:val="markedcontent"/>
    <w:basedOn w:val="Carpredefinitoparagrafo"/>
    <w:rsid w:val="00344506"/>
  </w:style>
  <w:style w:type="character" w:customStyle="1" w:styleId="fw-bold">
    <w:name w:val="fw-bold"/>
    <w:basedOn w:val="Carpredefinitoparagrafo"/>
    <w:rsid w:val="00344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eve.it/" TargetMode="External"/><Relationship Id="rId3" Type="http://schemas.openxmlformats.org/officeDocument/2006/relationships/webSettings" Target="webSettings.xml"/><Relationship Id="rId7" Type="http://schemas.openxmlformats.org/officeDocument/2006/relationships/hyperlink" Target="http://www.corepla.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mieco.org/" TargetMode="External"/><Relationship Id="rId11" Type="http://schemas.openxmlformats.org/officeDocument/2006/relationships/theme" Target="theme/theme1.xml"/><Relationship Id="rId5" Type="http://schemas.openxmlformats.org/officeDocument/2006/relationships/hyperlink" Target="http://www.cial.it/" TargetMode="External"/><Relationship Id="rId10" Type="http://schemas.openxmlformats.org/officeDocument/2006/relationships/fontTable" Target="fontTable.xml"/><Relationship Id="rId4" Type="http://schemas.openxmlformats.org/officeDocument/2006/relationships/hyperlink" Target="https://biorepack.org/" TargetMode="External"/><Relationship Id="rId9" Type="http://schemas.openxmlformats.org/officeDocument/2006/relationships/hyperlink" Target="http://www.consorzioricrea.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1917</TotalTime>
  <Pages>8</Pages>
  <Words>2748</Words>
  <Characters>15668</Characters>
  <Application>Microsoft Office Word</Application>
  <DocSecurity>0</DocSecurity>
  <Lines>130</Lines>
  <Paragraphs>36</Paragraphs>
  <ScaleCrop>false</ScaleCrop>
  <Company/>
  <LinksUpToDate>false</LinksUpToDate>
  <CharactersWithSpaces>18380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FORTUNATO</dc:creator>
  <cp:keywords/>
  <dc:description/>
  <cp:lastModifiedBy>ROSA FORTUNATO</cp:lastModifiedBy>
  <cp:revision>107</cp:revision>
  <dcterms:created xsi:type="dcterms:W3CDTF">2024-10-28T15:25:00Z</dcterms:created>
  <dcterms:modified xsi:type="dcterms:W3CDTF">2024-12-06T16:57:00Z</dcterms:modified>
</cp:coreProperties>
</file>